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0D4300" w14:textId="77777777" w:rsidR="000407E4" w:rsidRDefault="00AF2D4B" w:rsidP="00B97B16">
      <w:pPr>
        <w:pStyle w:val="ITTMainHeading"/>
        <w:spacing w:line="240" w:lineRule="auto"/>
      </w:pPr>
      <w:r w:rsidRPr="004D75B9">
        <w:t>External Assessment Centres</w:t>
      </w:r>
      <w:r w:rsidR="006F7A67">
        <w:t xml:space="preserve"> </w:t>
      </w:r>
      <w:r w:rsidR="00404346" w:rsidRPr="004D75B9">
        <w:t>Service Specification</w:t>
      </w:r>
      <w:r w:rsidR="00234B21">
        <w:t xml:space="preserve"> of Requirements</w:t>
      </w:r>
    </w:p>
    <w:p w14:paraId="601A1499" w14:textId="35EB86A7" w:rsidR="001E6C80" w:rsidRPr="001E6C80" w:rsidRDefault="001E6C80" w:rsidP="00B97B16">
      <w:pPr>
        <w:pStyle w:val="ITTMainHeading"/>
        <w:spacing w:line="240" w:lineRule="auto"/>
        <w:rPr>
          <w:color w:val="365F91" w:themeColor="accent1" w:themeShade="BF"/>
        </w:rPr>
      </w:pPr>
      <w:r w:rsidRPr="001E6C80">
        <w:rPr>
          <w:color w:val="365F91" w:themeColor="accent1" w:themeShade="BF"/>
        </w:rPr>
        <w:t>LOT 3 Technical and regulatory support</w:t>
      </w:r>
    </w:p>
    <w:p w14:paraId="45B4D0DB" w14:textId="77777777" w:rsidR="0049431B" w:rsidRPr="00AD6702" w:rsidRDefault="0049431B" w:rsidP="00B97B16">
      <w:pPr>
        <w:pStyle w:val="ITTgenericheading"/>
      </w:pPr>
    </w:p>
    <w:p w14:paraId="44BD2B23" w14:textId="77777777" w:rsidR="0049431B" w:rsidRPr="00AD6702" w:rsidRDefault="00311A6D" w:rsidP="00B97B16">
      <w:pPr>
        <w:pStyle w:val="ITTgenericheading"/>
      </w:pPr>
      <w:r>
        <w:t>Document Version Control</w:t>
      </w:r>
    </w:p>
    <w:tbl>
      <w:tblPr>
        <w:tblStyle w:val="TableGrid"/>
        <w:tblW w:w="0" w:type="auto"/>
        <w:tblLook w:val="04A0" w:firstRow="1" w:lastRow="0" w:firstColumn="1" w:lastColumn="0" w:noHBand="0" w:noVBand="1"/>
      </w:tblPr>
      <w:tblGrid>
        <w:gridCol w:w="2214"/>
        <w:gridCol w:w="2214"/>
        <w:gridCol w:w="2214"/>
        <w:gridCol w:w="2214"/>
      </w:tblGrid>
      <w:tr w:rsidR="0049431B" w:rsidRPr="00700AE2" w14:paraId="5ED023E3" w14:textId="77777777" w:rsidTr="00D871BF">
        <w:tc>
          <w:tcPr>
            <w:tcW w:w="2214" w:type="dxa"/>
            <w:vAlign w:val="center"/>
          </w:tcPr>
          <w:p w14:paraId="282CC5CB" w14:textId="77777777" w:rsidR="0049431B" w:rsidRPr="00700AE2" w:rsidRDefault="0049431B" w:rsidP="00891321">
            <w:pPr>
              <w:spacing w:before="60" w:after="60" w:line="240" w:lineRule="auto"/>
            </w:pPr>
            <w:r w:rsidRPr="00700AE2">
              <w:t>Version Number</w:t>
            </w:r>
          </w:p>
        </w:tc>
        <w:tc>
          <w:tcPr>
            <w:tcW w:w="2214" w:type="dxa"/>
            <w:vAlign w:val="center"/>
          </w:tcPr>
          <w:p w14:paraId="58ACBBAF" w14:textId="77777777" w:rsidR="0049431B" w:rsidRPr="00700AE2" w:rsidRDefault="0049431B" w:rsidP="00891321">
            <w:pPr>
              <w:spacing w:before="60" w:after="60" w:line="240" w:lineRule="auto"/>
            </w:pPr>
            <w:r w:rsidRPr="00700AE2">
              <w:t>Last Updated</w:t>
            </w:r>
          </w:p>
        </w:tc>
        <w:tc>
          <w:tcPr>
            <w:tcW w:w="2214" w:type="dxa"/>
            <w:vAlign w:val="center"/>
          </w:tcPr>
          <w:p w14:paraId="75A91897" w14:textId="77777777" w:rsidR="0049431B" w:rsidRPr="00700AE2" w:rsidRDefault="000E5F05" w:rsidP="00891321">
            <w:pPr>
              <w:spacing w:before="60" w:after="60" w:line="240" w:lineRule="auto"/>
            </w:pPr>
            <w:r>
              <w:t>Amendment ref</w:t>
            </w:r>
          </w:p>
        </w:tc>
        <w:tc>
          <w:tcPr>
            <w:tcW w:w="2214" w:type="dxa"/>
            <w:vAlign w:val="center"/>
          </w:tcPr>
          <w:p w14:paraId="732147E5" w14:textId="77777777" w:rsidR="0049431B" w:rsidRPr="00700AE2" w:rsidRDefault="0049431B" w:rsidP="00891321">
            <w:pPr>
              <w:spacing w:before="60" w:after="60" w:line="240" w:lineRule="auto"/>
            </w:pPr>
            <w:r w:rsidRPr="00700AE2">
              <w:t>Initials</w:t>
            </w:r>
          </w:p>
        </w:tc>
      </w:tr>
      <w:tr w:rsidR="0049431B" w:rsidRPr="00700AE2" w14:paraId="15A6384E" w14:textId="77777777" w:rsidTr="00D871BF">
        <w:tc>
          <w:tcPr>
            <w:tcW w:w="2214" w:type="dxa"/>
            <w:vAlign w:val="center"/>
          </w:tcPr>
          <w:p w14:paraId="71FD9381" w14:textId="52CE21D0" w:rsidR="0049431B" w:rsidRPr="00700AE2" w:rsidRDefault="007F2CA8" w:rsidP="00AA108D">
            <w:pPr>
              <w:spacing w:before="60" w:after="60" w:line="240" w:lineRule="auto"/>
            </w:pPr>
            <w:r>
              <w:t>Final for release</w:t>
            </w:r>
          </w:p>
        </w:tc>
        <w:tc>
          <w:tcPr>
            <w:tcW w:w="2214" w:type="dxa"/>
            <w:vAlign w:val="center"/>
          </w:tcPr>
          <w:p w14:paraId="2810A61D" w14:textId="11251D95" w:rsidR="0049431B" w:rsidRPr="00700AE2" w:rsidRDefault="007F2CA8" w:rsidP="007F2CA8">
            <w:pPr>
              <w:spacing w:before="60" w:after="60" w:line="240" w:lineRule="auto"/>
            </w:pPr>
            <w:r>
              <w:t>06</w:t>
            </w:r>
            <w:r w:rsidR="00BA14F5">
              <w:t>/</w:t>
            </w:r>
            <w:r>
              <w:t>10</w:t>
            </w:r>
            <w:r w:rsidR="00BA14F5">
              <w:t>/2017</w:t>
            </w:r>
          </w:p>
        </w:tc>
        <w:tc>
          <w:tcPr>
            <w:tcW w:w="2214" w:type="dxa"/>
            <w:vAlign w:val="center"/>
          </w:tcPr>
          <w:p w14:paraId="21C16FE4" w14:textId="57EC8CB5" w:rsidR="0049431B" w:rsidRPr="00700AE2" w:rsidRDefault="0049431B" w:rsidP="00BA14F5">
            <w:pPr>
              <w:spacing w:before="60" w:after="60" w:line="240" w:lineRule="auto"/>
            </w:pPr>
          </w:p>
        </w:tc>
        <w:tc>
          <w:tcPr>
            <w:tcW w:w="2214" w:type="dxa"/>
            <w:vAlign w:val="center"/>
          </w:tcPr>
          <w:p w14:paraId="14EE5100" w14:textId="0F130107" w:rsidR="0049431B" w:rsidRPr="00700AE2" w:rsidRDefault="00BA14F5" w:rsidP="00891321">
            <w:pPr>
              <w:spacing w:before="60" w:after="60" w:line="240" w:lineRule="auto"/>
            </w:pPr>
            <w:r>
              <w:t>IW</w:t>
            </w:r>
          </w:p>
        </w:tc>
      </w:tr>
    </w:tbl>
    <w:p w14:paraId="3A4BD3D3" w14:textId="708AB023" w:rsidR="0049431B" w:rsidRPr="00700AE2" w:rsidRDefault="0049431B" w:rsidP="00B97B16">
      <w:pPr>
        <w:spacing w:line="240" w:lineRule="auto"/>
      </w:pPr>
    </w:p>
    <w:p w14:paraId="0A0A1EE5" w14:textId="77777777" w:rsidR="00E734A2" w:rsidRDefault="00E734A2" w:rsidP="00B97B16">
      <w:pPr>
        <w:spacing w:after="0" w:line="240" w:lineRule="auto"/>
        <w:rPr>
          <w:rFonts w:ascii="Arial" w:hAnsi="Arial" w:cs="Arial"/>
          <w:b/>
          <w:sz w:val="36"/>
          <w:szCs w:val="36"/>
        </w:rPr>
      </w:pPr>
      <w:bookmarkStart w:id="0" w:name="_Toc142451954"/>
      <w:bookmarkStart w:id="1" w:name="_Toc147288617"/>
      <w:bookmarkStart w:id="2" w:name="_Toc147289230"/>
      <w:bookmarkStart w:id="3" w:name="_Toc248202963"/>
      <w:bookmarkStart w:id="4" w:name="_Toc250536875"/>
      <w:bookmarkStart w:id="5" w:name="_Toc321321269"/>
      <w:bookmarkStart w:id="6" w:name="_Toc323656675"/>
      <w:bookmarkStart w:id="7" w:name="_Toc323823613"/>
      <w:bookmarkStart w:id="8" w:name="_Toc324423958"/>
      <w:r>
        <w:br w:type="page"/>
      </w:r>
    </w:p>
    <w:bookmarkEnd w:id="8" w:displacedByCustomXml="next"/>
    <w:bookmarkEnd w:id="7" w:displacedByCustomXml="next"/>
    <w:bookmarkEnd w:id="6" w:displacedByCustomXml="next"/>
    <w:bookmarkEnd w:id="5" w:displacedByCustomXml="next"/>
    <w:bookmarkEnd w:id="4" w:displacedByCustomXml="next"/>
    <w:bookmarkEnd w:id="3" w:displacedByCustomXml="next"/>
    <w:bookmarkEnd w:id="2" w:displacedByCustomXml="next"/>
    <w:bookmarkEnd w:id="1" w:displacedByCustomXml="next"/>
    <w:bookmarkEnd w:id="0" w:displacedByCustomXml="next"/>
    <w:bookmarkStart w:id="9" w:name="_Toc306113811" w:displacedByCustomXml="next"/>
    <w:bookmarkStart w:id="10" w:name="_Toc304987718" w:displacedByCustomXml="next"/>
    <w:bookmarkStart w:id="11" w:name="_Toc305151711" w:displacedByCustomXml="next"/>
    <w:bookmarkStart w:id="12" w:name="_Toc304983222" w:displacedByCustomXml="next"/>
    <w:sdt>
      <w:sdtPr>
        <w:rPr>
          <w:rFonts w:ascii="Calibri" w:eastAsia="Times New Roman" w:hAnsi="Calibri" w:cs="Times New Roman"/>
          <w:color w:val="auto"/>
          <w:sz w:val="22"/>
          <w:szCs w:val="22"/>
          <w:lang w:bidi="en-US"/>
        </w:rPr>
        <w:id w:val="758099565"/>
        <w:docPartObj>
          <w:docPartGallery w:val="Table of Contents"/>
          <w:docPartUnique/>
        </w:docPartObj>
      </w:sdtPr>
      <w:sdtEndPr>
        <w:rPr>
          <w:b/>
          <w:bCs/>
          <w:noProof/>
        </w:rPr>
      </w:sdtEndPr>
      <w:sdtContent>
        <w:p w14:paraId="414FF77B" w14:textId="77777777" w:rsidR="008B1460" w:rsidRPr="00BC7D0F" w:rsidRDefault="008B1460">
          <w:pPr>
            <w:pStyle w:val="TOCHeading"/>
            <w:rPr>
              <w:rFonts w:ascii="Arial" w:hAnsi="Arial" w:cs="Arial"/>
              <w:color w:val="000000" w:themeColor="text1"/>
              <w:sz w:val="28"/>
              <w:szCs w:val="28"/>
            </w:rPr>
          </w:pPr>
          <w:r w:rsidRPr="00BC7D0F">
            <w:rPr>
              <w:rFonts w:ascii="Arial" w:hAnsi="Arial" w:cs="Arial"/>
              <w:color w:val="000000" w:themeColor="text1"/>
              <w:sz w:val="28"/>
              <w:szCs w:val="28"/>
            </w:rPr>
            <w:t>Contents</w:t>
          </w:r>
        </w:p>
        <w:p w14:paraId="28C15B55" w14:textId="77777777" w:rsidR="008909B9" w:rsidRDefault="008B1460">
          <w:pPr>
            <w:pStyle w:val="TOC1"/>
            <w:rPr>
              <w:rFonts w:asciiTheme="minorHAnsi" w:eastAsiaTheme="minorEastAsia" w:hAnsiTheme="minorHAnsi" w:cstheme="minorBidi"/>
              <w:noProof/>
              <w:lang w:eastAsia="en-GB" w:bidi="ar-SA"/>
            </w:rPr>
          </w:pPr>
          <w:r w:rsidRPr="00A752F3">
            <w:rPr>
              <w:rFonts w:ascii="Arial" w:hAnsi="Arial" w:cs="Arial"/>
            </w:rPr>
            <w:fldChar w:fldCharType="begin"/>
          </w:r>
          <w:r w:rsidRPr="00A752F3">
            <w:rPr>
              <w:rFonts w:ascii="Arial" w:hAnsi="Arial" w:cs="Arial"/>
            </w:rPr>
            <w:instrText xml:space="preserve"> TOC \o "1-3" \h \z \u </w:instrText>
          </w:r>
          <w:r w:rsidRPr="00A752F3">
            <w:rPr>
              <w:rFonts w:ascii="Arial" w:hAnsi="Arial" w:cs="Arial"/>
            </w:rPr>
            <w:fldChar w:fldCharType="separate"/>
          </w:r>
          <w:hyperlink w:anchor="_Toc495071784" w:history="1">
            <w:r w:rsidR="008909B9" w:rsidRPr="00742D1B">
              <w:rPr>
                <w:rStyle w:val="Hyperlink"/>
                <w:noProof/>
              </w:rPr>
              <w:t>1</w:t>
            </w:r>
            <w:r w:rsidR="008909B9">
              <w:rPr>
                <w:rFonts w:asciiTheme="minorHAnsi" w:eastAsiaTheme="minorEastAsia" w:hAnsiTheme="minorHAnsi" w:cstheme="minorBidi"/>
                <w:noProof/>
                <w:lang w:eastAsia="en-GB" w:bidi="ar-SA"/>
              </w:rPr>
              <w:tab/>
            </w:r>
            <w:r w:rsidR="008909B9" w:rsidRPr="00742D1B">
              <w:rPr>
                <w:rStyle w:val="Hyperlink"/>
                <w:noProof/>
              </w:rPr>
              <w:t>Main activities of the EACs in Lot 3</w:t>
            </w:r>
            <w:r w:rsidR="008909B9">
              <w:rPr>
                <w:noProof/>
                <w:webHidden/>
              </w:rPr>
              <w:tab/>
            </w:r>
            <w:r w:rsidR="008909B9">
              <w:rPr>
                <w:noProof/>
                <w:webHidden/>
              </w:rPr>
              <w:fldChar w:fldCharType="begin"/>
            </w:r>
            <w:r w:rsidR="008909B9">
              <w:rPr>
                <w:noProof/>
                <w:webHidden/>
              </w:rPr>
              <w:instrText xml:space="preserve"> PAGEREF _Toc495071784 \h </w:instrText>
            </w:r>
            <w:r w:rsidR="008909B9">
              <w:rPr>
                <w:noProof/>
                <w:webHidden/>
              </w:rPr>
            </w:r>
            <w:r w:rsidR="008909B9">
              <w:rPr>
                <w:noProof/>
                <w:webHidden/>
              </w:rPr>
              <w:fldChar w:fldCharType="separate"/>
            </w:r>
            <w:r w:rsidR="008909B9">
              <w:rPr>
                <w:noProof/>
                <w:webHidden/>
              </w:rPr>
              <w:t>3</w:t>
            </w:r>
            <w:r w:rsidR="008909B9">
              <w:rPr>
                <w:noProof/>
                <w:webHidden/>
              </w:rPr>
              <w:fldChar w:fldCharType="end"/>
            </w:r>
          </w:hyperlink>
        </w:p>
        <w:p w14:paraId="1CD9929D" w14:textId="77777777" w:rsidR="008909B9" w:rsidRDefault="008909B9">
          <w:pPr>
            <w:pStyle w:val="TOC1"/>
            <w:rPr>
              <w:rFonts w:asciiTheme="minorHAnsi" w:eastAsiaTheme="minorEastAsia" w:hAnsiTheme="minorHAnsi" w:cstheme="minorBidi"/>
              <w:noProof/>
              <w:lang w:eastAsia="en-GB" w:bidi="ar-SA"/>
            </w:rPr>
          </w:pPr>
          <w:hyperlink w:anchor="_Toc495071785" w:history="1">
            <w:r w:rsidRPr="00742D1B">
              <w:rPr>
                <w:rStyle w:val="Hyperlink"/>
                <w:noProof/>
              </w:rPr>
              <w:t>2</w:t>
            </w:r>
            <w:r>
              <w:rPr>
                <w:rFonts w:asciiTheme="minorHAnsi" w:eastAsiaTheme="minorEastAsia" w:hAnsiTheme="minorHAnsi" w:cstheme="minorBidi"/>
                <w:noProof/>
                <w:lang w:eastAsia="en-GB" w:bidi="ar-SA"/>
              </w:rPr>
              <w:tab/>
            </w:r>
            <w:r w:rsidRPr="00742D1B">
              <w:rPr>
                <w:rStyle w:val="Hyperlink"/>
                <w:noProof/>
              </w:rPr>
              <w:t>Lot 3 – Technical and regulatory support</w:t>
            </w:r>
            <w:r>
              <w:rPr>
                <w:noProof/>
                <w:webHidden/>
              </w:rPr>
              <w:tab/>
            </w:r>
            <w:r>
              <w:rPr>
                <w:noProof/>
                <w:webHidden/>
              </w:rPr>
              <w:fldChar w:fldCharType="begin"/>
            </w:r>
            <w:r>
              <w:rPr>
                <w:noProof/>
                <w:webHidden/>
              </w:rPr>
              <w:instrText xml:space="preserve"> PAGEREF _Toc495071785 \h </w:instrText>
            </w:r>
            <w:r>
              <w:rPr>
                <w:noProof/>
                <w:webHidden/>
              </w:rPr>
            </w:r>
            <w:r>
              <w:rPr>
                <w:noProof/>
                <w:webHidden/>
              </w:rPr>
              <w:fldChar w:fldCharType="separate"/>
            </w:r>
            <w:r>
              <w:rPr>
                <w:noProof/>
                <w:webHidden/>
              </w:rPr>
              <w:t>3</w:t>
            </w:r>
            <w:r>
              <w:rPr>
                <w:noProof/>
                <w:webHidden/>
              </w:rPr>
              <w:fldChar w:fldCharType="end"/>
            </w:r>
          </w:hyperlink>
        </w:p>
        <w:p w14:paraId="61DA567E" w14:textId="77777777" w:rsidR="008909B9" w:rsidRDefault="008909B9">
          <w:pPr>
            <w:pStyle w:val="TOC2"/>
            <w:tabs>
              <w:tab w:val="left" w:pos="880"/>
              <w:tab w:val="right" w:leader="dot" w:pos="9017"/>
            </w:tabs>
            <w:rPr>
              <w:rFonts w:asciiTheme="minorHAnsi" w:eastAsiaTheme="minorEastAsia" w:hAnsiTheme="minorHAnsi" w:cstheme="minorBidi"/>
              <w:noProof/>
              <w:lang w:eastAsia="en-GB" w:bidi="ar-SA"/>
            </w:rPr>
          </w:pPr>
          <w:hyperlink w:anchor="_Toc495071786" w:history="1">
            <w:r w:rsidRPr="00742D1B">
              <w:rPr>
                <w:rStyle w:val="Hyperlink"/>
                <w:noProof/>
              </w:rPr>
              <w:t>2.1</w:t>
            </w:r>
            <w:r>
              <w:rPr>
                <w:rFonts w:asciiTheme="minorHAnsi" w:eastAsiaTheme="minorEastAsia" w:hAnsiTheme="minorHAnsi" w:cstheme="minorBidi"/>
                <w:noProof/>
                <w:lang w:eastAsia="en-GB" w:bidi="ar-SA"/>
              </w:rPr>
              <w:tab/>
            </w:r>
            <w:r w:rsidRPr="00742D1B">
              <w:rPr>
                <w:rStyle w:val="Hyperlink"/>
                <w:noProof/>
              </w:rPr>
              <w:t>Technical assessment</w:t>
            </w:r>
            <w:r>
              <w:rPr>
                <w:noProof/>
                <w:webHidden/>
              </w:rPr>
              <w:tab/>
            </w:r>
            <w:r>
              <w:rPr>
                <w:noProof/>
                <w:webHidden/>
              </w:rPr>
              <w:fldChar w:fldCharType="begin"/>
            </w:r>
            <w:r>
              <w:rPr>
                <w:noProof/>
                <w:webHidden/>
              </w:rPr>
              <w:instrText xml:space="preserve"> PAGEREF _Toc495071786 \h </w:instrText>
            </w:r>
            <w:r>
              <w:rPr>
                <w:noProof/>
                <w:webHidden/>
              </w:rPr>
            </w:r>
            <w:r>
              <w:rPr>
                <w:noProof/>
                <w:webHidden/>
              </w:rPr>
              <w:fldChar w:fldCharType="separate"/>
            </w:r>
            <w:r>
              <w:rPr>
                <w:noProof/>
                <w:webHidden/>
              </w:rPr>
              <w:t>3</w:t>
            </w:r>
            <w:r>
              <w:rPr>
                <w:noProof/>
                <w:webHidden/>
              </w:rPr>
              <w:fldChar w:fldCharType="end"/>
            </w:r>
          </w:hyperlink>
        </w:p>
        <w:p w14:paraId="1035083A" w14:textId="77777777" w:rsidR="008909B9" w:rsidRDefault="008909B9">
          <w:pPr>
            <w:pStyle w:val="TOC2"/>
            <w:tabs>
              <w:tab w:val="left" w:pos="880"/>
              <w:tab w:val="right" w:leader="dot" w:pos="9017"/>
            </w:tabs>
            <w:rPr>
              <w:rFonts w:asciiTheme="minorHAnsi" w:eastAsiaTheme="minorEastAsia" w:hAnsiTheme="minorHAnsi" w:cstheme="minorBidi"/>
              <w:noProof/>
              <w:lang w:eastAsia="en-GB" w:bidi="ar-SA"/>
            </w:rPr>
          </w:pPr>
          <w:hyperlink w:anchor="_Toc495071787" w:history="1">
            <w:r w:rsidRPr="00742D1B">
              <w:rPr>
                <w:rStyle w:val="Hyperlink"/>
                <w:noProof/>
              </w:rPr>
              <w:t>2.2</w:t>
            </w:r>
            <w:r>
              <w:rPr>
                <w:rFonts w:asciiTheme="minorHAnsi" w:eastAsiaTheme="minorEastAsia" w:hAnsiTheme="minorHAnsi" w:cstheme="minorBidi"/>
                <w:noProof/>
                <w:lang w:eastAsia="en-GB" w:bidi="ar-SA"/>
              </w:rPr>
              <w:tab/>
            </w:r>
            <w:r w:rsidRPr="00742D1B">
              <w:rPr>
                <w:rStyle w:val="Hyperlink"/>
                <w:noProof/>
              </w:rPr>
              <w:t>Technical supplement</w:t>
            </w:r>
            <w:r>
              <w:rPr>
                <w:noProof/>
                <w:webHidden/>
              </w:rPr>
              <w:tab/>
            </w:r>
            <w:r>
              <w:rPr>
                <w:noProof/>
                <w:webHidden/>
              </w:rPr>
              <w:fldChar w:fldCharType="begin"/>
            </w:r>
            <w:r>
              <w:rPr>
                <w:noProof/>
                <w:webHidden/>
              </w:rPr>
              <w:instrText xml:space="preserve"> PAGEREF _Toc495071787 \h </w:instrText>
            </w:r>
            <w:r>
              <w:rPr>
                <w:noProof/>
                <w:webHidden/>
              </w:rPr>
            </w:r>
            <w:r>
              <w:rPr>
                <w:noProof/>
                <w:webHidden/>
              </w:rPr>
              <w:fldChar w:fldCharType="separate"/>
            </w:r>
            <w:r>
              <w:rPr>
                <w:noProof/>
                <w:webHidden/>
              </w:rPr>
              <w:t>4</w:t>
            </w:r>
            <w:r>
              <w:rPr>
                <w:noProof/>
                <w:webHidden/>
              </w:rPr>
              <w:fldChar w:fldCharType="end"/>
            </w:r>
          </w:hyperlink>
        </w:p>
        <w:p w14:paraId="5D89547D" w14:textId="77777777" w:rsidR="008909B9" w:rsidRDefault="008909B9">
          <w:pPr>
            <w:pStyle w:val="TOC2"/>
            <w:tabs>
              <w:tab w:val="left" w:pos="880"/>
              <w:tab w:val="right" w:leader="dot" w:pos="9017"/>
            </w:tabs>
            <w:rPr>
              <w:rFonts w:asciiTheme="minorHAnsi" w:eastAsiaTheme="minorEastAsia" w:hAnsiTheme="minorHAnsi" w:cstheme="minorBidi"/>
              <w:noProof/>
              <w:lang w:eastAsia="en-GB" w:bidi="ar-SA"/>
            </w:rPr>
          </w:pPr>
          <w:hyperlink w:anchor="_Toc495071788" w:history="1">
            <w:r w:rsidRPr="00742D1B">
              <w:rPr>
                <w:rStyle w:val="Hyperlink"/>
                <w:noProof/>
              </w:rPr>
              <w:t>2.3</w:t>
            </w:r>
            <w:r>
              <w:rPr>
                <w:rFonts w:asciiTheme="minorHAnsi" w:eastAsiaTheme="minorEastAsia" w:hAnsiTheme="minorHAnsi" w:cstheme="minorBidi"/>
                <w:noProof/>
                <w:lang w:eastAsia="en-GB" w:bidi="ar-SA"/>
              </w:rPr>
              <w:tab/>
            </w:r>
            <w:r w:rsidRPr="00742D1B">
              <w:rPr>
                <w:rStyle w:val="Hyperlink"/>
                <w:noProof/>
              </w:rPr>
              <w:t>Regulatory analysis</w:t>
            </w:r>
            <w:r>
              <w:rPr>
                <w:noProof/>
                <w:webHidden/>
              </w:rPr>
              <w:tab/>
            </w:r>
            <w:r>
              <w:rPr>
                <w:noProof/>
                <w:webHidden/>
              </w:rPr>
              <w:fldChar w:fldCharType="begin"/>
            </w:r>
            <w:r>
              <w:rPr>
                <w:noProof/>
                <w:webHidden/>
              </w:rPr>
              <w:instrText xml:space="preserve"> PAGEREF _Toc495071788 \h </w:instrText>
            </w:r>
            <w:r>
              <w:rPr>
                <w:noProof/>
                <w:webHidden/>
              </w:rPr>
            </w:r>
            <w:r>
              <w:rPr>
                <w:noProof/>
                <w:webHidden/>
              </w:rPr>
              <w:fldChar w:fldCharType="separate"/>
            </w:r>
            <w:r>
              <w:rPr>
                <w:noProof/>
                <w:webHidden/>
              </w:rPr>
              <w:t>4</w:t>
            </w:r>
            <w:r>
              <w:rPr>
                <w:noProof/>
                <w:webHidden/>
              </w:rPr>
              <w:fldChar w:fldCharType="end"/>
            </w:r>
          </w:hyperlink>
        </w:p>
        <w:p w14:paraId="787B1AD2" w14:textId="77777777" w:rsidR="008909B9" w:rsidRDefault="008909B9">
          <w:pPr>
            <w:pStyle w:val="TOC1"/>
            <w:rPr>
              <w:rFonts w:asciiTheme="minorHAnsi" w:eastAsiaTheme="minorEastAsia" w:hAnsiTheme="minorHAnsi" w:cstheme="minorBidi"/>
              <w:noProof/>
              <w:lang w:eastAsia="en-GB" w:bidi="ar-SA"/>
            </w:rPr>
          </w:pPr>
          <w:hyperlink w:anchor="_Toc495071789" w:history="1">
            <w:r w:rsidRPr="00742D1B">
              <w:rPr>
                <w:rStyle w:val="Hyperlink"/>
                <w:noProof/>
              </w:rPr>
              <w:t>Appendix A – Examples of published outputs for the main work package types</w:t>
            </w:r>
            <w:r>
              <w:rPr>
                <w:noProof/>
                <w:webHidden/>
              </w:rPr>
              <w:tab/>
            </w:r>
            <w:r>
              <w:rPr>
                <w:noProof/>
                <w:webHidden/>
              </w:rPr>
              <w:fldChar w:fldCharType="begin"/>
            </w:r>
            <w:r>
              <w:rPr>
                <w:noProof/>
                <w:webHidden/>
              </w:rPr>
              <w:instrText xml:space="preserve"> PAGEREF _Toc495071789 \h </w:instrText>
            </w:r>
            <w:r>
              <w:rPr>
                <w:noProof/>
                <w:webHidden/>
              </w:rPr>
            </w:r>
            <w:r>
              <w:rPr>
                <w:noProof/>
                <w:webHidden/>
              </w:rPr>
              <w:fldChar w:fldCharType="separate"/>
            </w:r>
            <w:r>
              <w:rPr>
                <w:noProof/>
                <w:webHidden/>
              </w:rPr>
              <w:t>6</w:t>
            </w:r>
            <w:r>
              <w:rPr>
                <w:noProof/>
                <w:webHidden/>
              </w:rPr>
              <w:fldChar w:fldCharType="end"/>
            </w:r>
          </w:hyperlink>
        </w:p>
        <w:p w14:paraId="7E3BC61D" w14:textId="77777777" w:rsidR="008B1460" w:rsidRDefault="008B1460">
          <w:r w:rsidRPr="00A752F3">
            <w:rPr>
              <w:rFonts w:ascii="Arial" w:hAnsi="Arial" w:cs="Arial"/>
              <w:b/>
              <w:bCs/>
              <w:noProof/>
            </w:rPr>
            <w:fldChar w:fldCharType="end"/>
          </w:r>
        </w:p>
      </w:sdtContent>
    </w:sdt>
    <w:p w14:paraId="562C301C" w14:textId="77777777" w:rsidR="001F3CB9" w:rsidRDefault="001F3CB9" w:rsidP="00B97B16">
      <w:pPr>
        <w:tabs>
          <w:tab w:val="left" w:pos="720"/>
        </w:tabs>
        <w:spacing w:line="240" w:lineRule="auto"/>
        <w:rPr>
          <w:rFonts w:cs="Arial"/>
        </w:rPr>
      </w:pPr>
    </w:p>
    <w:p w14:paraId="783E7976" w14:textId="77777777" w:rsidR="0073069B" w:rsidRDefault="0073069B" w:rsidP="00B97B16">
      <w:pPr>
        <w:spacing w:line="240" w:lineRule="auto"/>
        <w:sectPr w:rsidR="0073069B" w:rsidSect="009D218E">
          <w:headerReference w:type="default" r:id="rId8"/>
          <w:footerReference w:type="default" r:id="rId9"/>
          <w:pgSz w:w="11907" w:h="16839" w:code="9"/>
          <w:pgMar w:top="1440" w:right="1440" w:bottom="1440" w:left="1440" w:header="708" w:footer="708" w:gutter="0"/>
          <w:cols w:space="708"/>
          <w:titlePg/>
          <w:docGrid w:linePitch="360"/>
        </w:sectPr>
      </w:pPr>
    </w:p>
    <w:p w14:paraId="14BB8432" w14:textId="2A7DE5F3" w:rsidR="00AF2D4B" w:rsidRDefault="00DC45CB" w:rsidP="001E6C80">
      <w:pPr>
        <w:pStyle w:val="Heading1"/>
      </w:pPr>
      <w:bookmarkStart w:id="13" w:name="_Toc495071784"/>
      <w:bookmarkEnd w:id="12"/>
      <w:bookmarkEnd w:id="11"/>
      <w:bookmarkEnd w:id="10"/>
      <w:bookmarkEnd w:id="9"/>
      <w:r>
        <w:lastRenderedPageBreak/>
        <w:t xml:space="preserve">Main </w:t>
      </w:r>
      <w:r w:rsidRPr="00D90EE8">
        <w:t>activities</w:t>
      </w:r>
      <w:r>
        <w:t xml:space="preserve"> </w:t>
      </w:r>
      <w:r w:rsidR="00041FAC">
        <w:t>of the EACs</w:t>
      </w:r>
      <w:r w:rsidR="00C26CBC">
        <w:t xml:space="preserve"> in Lot</w:t>
      </w:r>
      <w:r w:rsidR="001E6C80">
        <w:t xml:space="preserve"> </w:t>
      </w:r>
      <w:r w:rsidR="00961B36">
        <w:t>3</w:t>
      </w:r>
      <w:bookmarkEnd w:id="13"/>
    </w:p>
    <w:p w14:paraId="6B15181F" w14:textId="6CB24C7E" w:rsidR="00FA551F" w:rsidRPr="00FA551F" w:rsidRDefault="00FA551F" w:rsidP="00FA551F">
      <w:pPr>
        <w:pStyle w:val="ITTBody3"/>
      </w:pPr>
      <w:r w:rsidRPr="006A317A">
        <w:t xml:space="preserve">Including: technical assessment </w:t>
      </w:r>
      <w:r>
        <w:t>of CE marked medical devices</w:t>
      </w:r>
      <w:r w:rsidRPr="006A317A">
        <w:t xml:space="preserve"> to inform effective use</w:t>
      </w:r>
      <w:r>
        <w:t xml:space="preserve">, </w:t>
      </w:r>
      <w:r w:rsidRPr="006A317A">
        <w:t xml:space="preserve">and to support NICE’s adoption advice; technical </w:t>
      </w:r>
      <w:r>
        <w:t>supplement</w:t>
      </w:r>
      <w:r w:rsidRPr="006A317A">
        <w:t>s</w:t>
      </w:r>
      <w:r>
        <w:t xml:space="preserve"> on products in published NICE guidance</w:t>
      </w:r>
      <w:r w:rsidRPr="006A317A">
        <w:t xml:space="preserve">; ad hoc technical advice; regulatory analysis including </w:t>
      </w:r>
      <w:r w:rsidRPr="005C2C9F">
        <w:t>identification of</w:t>
      </w:r>
      <w:r w:rsidRPr="006A317A">
        <w:t xml:space="preserve"> CE marked devices used within new or novel interventional procedure</w:t>
      </w:r>
      <w:r w:rsidRPr="005C2C9F">
        <w:t>s</w:t>
      </w:r>
      <w:r>
        <w:t>.</w:t>
      </w:r>
    </w:p>
    <w:p w14:paraId="4665C822" w14:textId="385344B3" w:rsidR="00F8551A" w:rsidRPr="003C25CB" w:rsidRDefault="00F8551A" w:rsidP="003C25CB">
      <w:pPr>
        <w:pStyle w:val="ITTBody"/>
        <w:numPr>
          <w:ilvl w:val="0"/>
          <w:numId w:val="0"/>
        </w:numPr>
        <w:rPr>
          <w:b/>
          <w:sz w:val="24"/>
          <w:szCs w:val="24"/>
        </w:rPr>
      </w:pPr>
      <w:bookmarkStart w:id="14" w:name="_Toc483313605"/>
      <w:bookmarkEnd w:id="14"/>
      <w:r w:rsidRPr="003C25CB">
        <w:rPr>
          <w:b/>
          <w:sz w:val="24"/>
          <w:szCs w:val="24"/>
        </w:rPr>
        <w:t>T</w:t>
      </w:r>
      <w:r w:rsidR="0083543F" w:rsidRPr="003C25CB">
        <w:rPr>
          <w:b/>
          <w:sz w:val="24"/>
          <w:szCs w:val="24"/>
        </w:rPr>
        <w:t>able 1</w:t>
      </w:r>
      <w:r w:rsidRPr="003C25CB">
        <w:rPr>
          <w:b/>
          <w:sz w:val="24"/>
          <w:szCs w:val="24"/>
        </w:rPr>
        <w:t xml:space="preserve"> - Work Packages types </w:t>
      </w:r>
      <w:r w:rsidR="0083543F" w:rsidRPr="003C25CB">
        <w:rPr>
          <w:b/>
          <w:sz w:val="24"/>
          <w:szCs w:val="24"/>
        </w:rPr>
        <w:t>and</w:t>
      </w:r>
      <w:r w:rsidRPr="003C25CB">
        <w:rPr>
          <w:b/>
          <w:sz w:val="24"/>
          <w:szCs w:val="24"/>
        </w:rPr>
        <w:t xml:space="preserve"> modules</w:t>
      </w:r>
      <w:r w:rsidR="0083543F" w:rsidRPr="003C25CB">
        <w:rPr>
          <w:b/>
          <w:sz w:val="24"/>
          <w:szCs w:val="24"/>
        </w:rPr>
        <w:t xml:space="preserve"> normally required</w:t>
      </w:r>
      <w:r w:rsidR="002816FE" w:rsidRPr="003C25CB">
        <w:rPr>
          <w:b/>
          <w:sz w:val="24"/>
          <w:szCs w:val="24"/>
        </w:rPr>
        <w:t xml:space="preserve"> for </w:t>
      </w:r>
      <w:r w:rsidR="003C25CB">
        <w:rPr>
          <w:b/>
          <w:sz w:val="24"/>
          <w:szCs w:val="24"/>
        </w:rPr>
        <w:t>standard</w:t>
      </w:r>
      <w:r w:rsidR="002816FE" w:rsidRPr="003C25CB">
        <w:rPr>
          <w:b/>
          <w:sz w:val="24"/>
          <w:szCs w:val="24"/>
        </w:rPr>
        <w:t xml:space="preserve"> Work Packages</w:t>
      </w:r>
    </w:p>
    <w:tbl>
      <w:tblPr>
        <w:tblStyle w:val="TableGrid"/>
        <w:tblW w:w="8926" w:type="dxa"/>
        <w:tblLook w:val="04A0" w:firstRow="1" w:lastRow="0" w:firstColumn="1" w:lastColumn="0" w:noHBand="0" w:noVBand="1"/>
      </w:tblPr>
      <w:tblGrid>
        <w:gridCol w:w="3964"/>
        <w:gridCol w:w="2977"/>
        <w:gridCol w:w="1985"/>
      </w:tblGrid>
      <w:tr w:rsidR="001E6C80" w:rsidRPr="005F2BAF" w14:paraId="149296F0" w14:textId="096EE243" w:rsidTr="001E6C80">
        <w:trPr>
          <w:tblHeader/>
        </w:trPr>
        <w:tc>
          <w:tcPr>
            <w:tcW w:w="3964" w:type="dxa"/>
            <w:tcBorders>
              <w:bottom w:val="single" w:sz="4" w:space="0" w:color="auto"/>
            </w:tcBorders>
          </w:tcPr>
          <w:p w14:paraId="49BBA3C8" w14:textId="016EE402" w:rsidR="001E6C80" w:rsidRPr="005F2BAF" w:rsidRDefault="001E6C80" w:rsidP="008D301F">
            <w:pPr>
              <w:pStyle w:val="Paragraphnonumbers"/>
              <w:spacing w:before="60" w:after="60"/>
              <w:rPr>
                <w:b/>
              </w:rPr>
            </w:pPr>
            <w:r>
              <w:rPr>
                <w:b/>
              </w:rPr>
              <w:t>Typical work package t</w:t>
            </w:r>
            <w:r w:rsidRPr="005F2BAF">
              <w:rPr>
                <w:b/>
              </w:rPr>
              <w:t>ype</w:t>
            </w:r>
          </w:p>
        </w:tc>
        <w:tc>
          <w:tcPr>
            <w:tcW w:w="2977" w:type="dxa"/>
          </w:tcPr>
          <w:p w14:paraId="5DBABC5A" w14:textId="7418ED14" w:rsidR="001E6C80" w:rsidRPr="005F2BAF" w:rsidRDefault="001E6C80" w:rsidP="00B22D44">
            <w:pPr>
              <w:pStyle w:val="Paragraphnonumbers"/>
              <w:spacing w:before="60" w:after="60"/>
              <w:rPr>
                <w:b/>
              </w:rPr>
            </w:pPr>
            <w:r w:rsidRPr="005F2BAF">
              <w:rPr>
                <w:b/>
              </w:rPr>
              <w:t xml:space="preserve">Modules normally* required </w:t>
            </w:r>
          </w:p>
        </w:tc>
        <w:tc>
          <w:tcPr>
            <w:tcW w:w="1985" w:type="dxa"/>
          </w:tcPr>
          <w:p w14:paraId="765B24BA" w14:textId="77777777" w:rsidR="001E6C80" w:rsidRPr="003C25CB" w:rsidRDefault="001E6C80" w:rsidP="00B22D44">
            <w:pPr>
              <w:pStyle w:val="Paragraphnonumbers"/>
              <w:spacing w:before="60" w:after="60"/>
              <w:rPr>
                <w:b/>
              </w:rPr>
            </w:pPr>
            <w:r w:rsidRPr="003C25CB">
              <w:rPr>
                <w:b/>
              </w:rPr>
              <w:t>Lot 3</w:t>
            </w:r>
          </w:p>
          <w:p w14:paraId="7DEAD50A" w14:textId="655CF92F" w:rsidR="001E6C80" w:rsidRPr="005F2BAF" w:rsidRDefault="001E6C80" w:rsidP="00B22D44">
            <w:pPr>
              <w:pStyle w:val="Paragraphnonumbers"/>
              <w:spacing w:before="60" w:after="60"/>
              <w:rPr>
                <w:b/>
              </w:rPr>
            </w:pPr>
            <w:r>
              <w:rPr>
                <w:b/>
              </w:rPr>
              <w:t>Specification Reference</w:t>
            </w:r>
          </w:p>
        </w:tc>
      </w:tr>
      <w:tr w:rsidR="001E6C80" w14:paraId="45FFB525" w14:textId="13725D20" w:rsidTr="001E6C80">
        <w:tc>
          <w:tcPr>
            <w:tcW w:w="3964" w:type="dxa"/>
          </w:tcPr>
          <w:p w14:paraId="6BC3AEA4" w14:textId="219CDB93" w:rsidR="001E6C80" w:rsidRDefault="001E6C80" w:rsidP="001627EC">
            <w:pPr>
              <w:pStyle w:val="Paragraphnonumbers"/>
              <w:spacing w:before="60" w:after="60"/>
            </w:pPr>
            <w:r>
              <w:t>D - Technical evaluation to inform on effective use</w:t>
            </w:r>
          </w:p>
        </w:tc>
        <w:tc>
          <w:tcPr>
            <w:tcW w:w="2977" w:type="dxa"/>
          </w:tcPr>
          <w:p w14:paraId="6D16DBDF" w14:textId="1B0E3BDD" w:rsidR="001E6C80" w:rsidRDefault="001E6C80" w:rsidP="001627EC">
            <w:pPr>
              <w:pStyle w:val="Paragraphnonumbers"/>
              <w:spacing w:before="60" w:after="60"/>
            </w:pPr>
            <w:r>
              <w:rPr>
                <w:rFonts w:cs="Arial"/>
              </w:rPr>
              <w:t xml:space="preserve">D1 - </w:t>
            </w:r>
            <w:r w:rsidRPr="004E09DC">
              <w:rPr>
                <w:rFonts w:cs="Arial"/>
              </w:rPr>
              <w:t>Technical assessment</w:t>
            </w:r>
          </w:p>
        </w:tc>
        <w:tc>
          <w:tcPr>
            <w:tcW w:w="1985" w:type="dxa"/>
          </w:tcPr>
          <w:p w14:paraId="256B5810" w14:textId="4A9CF75B" w:rsidR="001E6C80" w:rsidRDefault="001E6C80" w:rsidP="003C25CB">
            <w:pPr>
              <w:pStyle w:val="Paragraphnonumbers"/>
              <w:spacing w:before="60" w:after="60"/>
              <w:rPr>
                <w:rFonts w:cs="Arial"/>
              </w:rPr>
            </w:pPr>
            <w:r>
              <w:rPr>
                <w:rFonts w:cs="Arial"/>
              </w:rPr>
              <w:t>1.</w:t>
            </w:r>
            <w:r w:rsidR="003C25CB">
              <w:rPr>
                <w:rFonts w:cs="Arial"/>
              </w:rPr>
              <w:t>2</w:t>
            </w:r>
            <w:r>
              <w:rPr>
                <w:rFonts w:cs="Arial"/>
              </w:rPr>
              <w:t>.1</w:t>
            </w:r>
          </w:p>
        </w:tc>
      </w:tr>
      <w:tr w:rsidR="001E6C80" w14:paraId="3267F9DF" w14:textId="221E2393" w:rsidTr="001E6C80">
        <w:tc>
          <w:tcPr>
            <w:tcW w:w="3964" w:type="dxa"/>
          </w:tcPr>
          <w:p w14:paraId="7DD52634" w14:textId="600AA00B" w:rsidR="001E6C80" w:rsidRDefault="001E6C80" w:rsidP="001627EC">
            <w:pPr>
              <w:pStyle w:val="Paragraphnonumbers"/>
              <w:spacing w:before="60" w:after="60"/>
            </w:pPr>
            <w:r>
              <w:t>D - Technical supplement following guidance review</w:t>
            </w:r>
          </w:p>
        </w:tc>
        <w:tc>
          <w:tcPr>
            <w:tcW w:w="2977" w:type="dxa"/>
          </w:tcPr>
          <w:p w14:paraId="08E45998" w14:textId="108645F4" w:rsidR="001E6C80" w:rsidRDefault="00FD2318" w:rsidP="0048725D">
            <w:pPr>
              <w:pStyle w:val="Paragraphnonumbers"/>
              <w:spacing w:before="60" w:after="60"/>
            </w:pPr>
            <w:r>
              <w:rPr>
                <w:rFonts w:cs="Arial"/>
              </w:rPr>
              <w:t>D</w:t>
            </w:r>
            <w:r w:rsidR="0048725D">
              <w:rPr>
                <w:rFonts w:cs="Arial"/>
              </w:rPr>
              <w:t>2</w:t>
            </w:r>
            <w:r>
              <w:rPr>
                <w:rFonts w:cs="Arial"/>
              </w:rPr>
              <w:t xml:space="preserve"> - </w:t>
            </w:r>
            <w:r w:rsidRPr="004E09DC">
              <w:rPr>
                <w:rFonts w:cs="Arial"/>
              </w:rPr>
              <w:t xml:space="preserve">Technical </w:t>
            </w:r>
            <w:r w:rsidR="0048725D">
              <w:rPr>
                <w:rFonts w:cs="Arial"/>
              </w:rPr>
              <w:t>supplement</w:t>
            </w:r>
          </w:p>
        </w:tc>
        <w:tc>
          <w:tcPr>
            <w:tcW w:w="1985" w:type="dxa"/>
          </w:tcPr>
          <w:p w14:paraId="794775FF" w14:textId="21F4CE0F" w:rsidR="001E6C80" w:rsidRDefault="001E6C80" w:rsidP="003C25CB">
            <w:pPr>
              <w:pStyle w:val="Paragraphnonumbers"/>
              <w:spacing w:before="60" w:after="60"/>
            </w:pPr>
            <w:r>
              <w:t>1.</w:t>
            </w:r>
            <w:r w:rsidR="003C25CB">
              <w:t>2</w:t>
            </w:r>
            <w:r>
              <w:t>.2</w:t>
            </w:r>
          </w:p>
        </w:tc>
      </w:tr>
      <w:tr w:rsidR="001E6C80" w14:paraId="3350464E" w14:textId="4586AF4C" w:rsidTr="001E6C80">
        <w:tc>
          <w:tcPr>
            <w:tcW w:w="3964" w:type="dxa"/>
          </w:tcPr>
          <w:p w14:paraId="59E9BCD9" w14:textId="43CAE2B6" w:rsidR="001E6C80" w:rsidRDefault="002E6C1C" w:rsidP="001627EC">
            <w:pPr>
              <w:pStyle w:val="Paragraphnonumbers"/>
              <w:spacing w:before="60" w:after="60"/>
            </w:pPr>
            <w:r>
              <w:t xml:space="preserve">I - </w:t>
            </w:r>
            <w:r w:rsidR="001E6C80">
              <w:t>Regulatory advice service on CE marking to the Interventional procedures programme</w:t>
            </w:r>
          </w:p>
        </w:tc>
        <w:tc>
          <w:tcPr>
            <w:tcW w:w="2977" w:type="dxa"/>
          </w:tcPr>
          <w:p w14:paraId="2333F6AB" w14:textId="7CD97AE3" w:rsidR="001E6C80" w:rsidRDefault="001E6C80" w:rsidP="00AA6574">
            <w:pPr>
              <w:pStyle w:val="Paragraphnonumbers"/>
              <w:spacing w:before="60" w:after="60"/>
            </w:pPr>
            <w:r>
              <w:t>I3 - Regulatory analysis</w:t>
            </w:r>
          </w:p>
        </w:tc>
        <w:tc>
          <w:tcPr>
            <w:tcW w:w="1985" w:type="dxa"/>
          </w:tcPr>
          <w:p w14:paraId="5AFFD398" w14:textId="3FB64AAF" w:rsidR="001E6C80" w:rsidRDefault="001E6C80" w:rsidP="003C25CB">
            <w:pPr>
              <w:pStyle w:val="Paragraphnonumbers"/>
              <w:spacing w:before="60" w:after="60"/>
            </w:pPr>
            <w:r>
              <w:t>1.</w:t>
            </w:r>
            <w:r w:rsidR="003C25CB">
              <w:t>2</w:t>
            </w:r>
            <w:r>
              <w:t>.3</w:t>
            </w:r>
          </w:p>
        </w:tc>
      </w:tr>
    </w:tbl>
    <w:p w14:paraId="565E39D6" w14:textId="233B054C" w:rsidR="00F8551A" w:rsidRPr="00D802F7" w:rsidRDefault="00F8551A" w:rsidP="00F8551A">
      <w:pPr>
        <w:pStyle w:val="Paragraphnonumbers"/>
      </w:pPr>
      <w:r>
        <w:t>* Please Note: These are indicative only of the modules normally required for each work package type. The modules actually required for each work package will be specified in the instruction to proceed for that work package.</w:t>
      </w:r>
    </w:p>
    <w:p w14:paraId="7EBF43CD" w14:textId="56577E9F" w:rsidR="00AF2D4B" w:rsidRPr="00F468FC" w:rsidRDefault="001360DB" w:rsidP="00FA551F">
      <w:pPr>
        <w:pStyle w:val="Heading1"/>
      </w:pPr>
      <w:bookmarkStart w:id="15" w:name="_Toc484419254"/>
      <w:bookmarkStart w:id="16" w:name="_Toc484422201"/>
      <w:bookmarkStart w:id="17" w:name="_Toc483313633"/>
      <w:bookmarkStart w:id="18" w:name="_Toc484419286"/>
      <w:bookmarkStart w:id="19" w:name="_Toc484422233"/>
      <w:bookmarkStart w:id="20" w:name="_Toc483313644"/>
      <w:bookmarkStart w:id="21" w:name="_Toc484419295"/>
      <w:bookmarkStart w:id="22" w:name="_Toc484422240"/>
      <w:bookmarkStart w:id="23" w:name="_Toc495071785"/>
      <w:bookmarkEnd w:id="15"/>
      <w:bookmarkEnd w:id="16"/>
      <w:bookmarkEnd w:id="17"/>
      <w:bookmarkEnd w:id="18"/>
      <w:bookmarkEnd w:id="19"/>
      <w:bookmarkEnd w:id="20"/>
      <w:bookmarkEnd w:id="21"/>
      <w:bookmarkEnd w:id="22"/>
      <w:r>
        <w:t xml:space="preserve">Lot 3 </w:t>
      </w:r>
      <w:r w:rsidR="00B33FA8">
        <w:t>–</w:t>
      </w:r>
      <w:r>
        <w:t xml:space="preserve"> </w:t>
      </w:r>
      <w:r w:rsidR="00B33FA8">
        <w:t>Technical and regulatory</w:t>
      </w:r>
      <w:r w:rsidR="003A040F" w:rsidRPr="00F468FC">
        <w:t xml:space="preserve"> support</w:t>
      </w:r>
      <w:bookmarkEnd w:id="23"/>
      <w:r w:rsidR="005D3238">
        <w:t xml:space="preserve"> </w:t>
      </w:r>
    </w:p>
    <w:p w14:paraId="5D18769B" w14:textId="77777777" w:rsidR="00B7529B" w:rsidRDefault="005469A8" w:rsidP="00B7529B">
      <w:pPr>
        <w:pStyle w:val="ITTBody3"/>
        <w:spacing w:after="0"/>
      </w:pPr>
      <w:bookmarkStart w:id="24" w:name="_Toc478022740"/>
      <w:bookmarkStart w:id="25" w:name="_Toc478026313"/>
      <w:bookmarkStart w:id="26" w:name="_Toc478026630"/>
      <w:bookmarkStart w:id="27" w:name="_Toc478022741"/>
      <w:bookmarkStart w:id="28" w:name="_Toc478026314"/>
      <w:bookmarkStart w:id="29" w:name="_Toc478026631"/>
      <w:bookmarkStart w:id="30" w:name="_Toc355616716"/>
      <w:bookmarkStart w:id="31" w:name="_Toc355616830"/>
      <w:bookmarkStart w:id="32" w:name="_Toc355625176"/>
      <w:bookmarkStart w:id="33" w:name="_Toc355625269"/>
      <w:bookmarkStart w:id="34" w:name="_Toc355700662"/>
      <w:bookmarkStart w:id="35" w:name="_Toc357767438"/>
      <w:bookmarkStart w:id="36" w:name="_Toc358279843"/>
      <w:bookmarkStart w:id="37" w:name="_Toc358281541"/>
      <w:bookmarkStart w:id="38" w:name="_Toc243883531"/>
      <w:bookmarkStart w:id="39" w:name="_Toc243883671"/>
      <w:bookmarkStart w:id="40" w:name="_Toc269224571"/>
      <w:bookmarkStart w:id="41" w:name="_Toc269230904"/>
      <w:bookmarkStart w:id="42" w:name="_Toc269224574"/>
      <w:bookmarkStart w:id="43" w:name="_Toc269230907"/>
      <w:bookmarkStart w:id="44" w:name="_Toc269224576"/>
      <w:bookmarkStart w:id="45" w:name="_Toc269230909"/>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r>
        <w:t xml:space="preserve">The narrative below describes the activities and other information comprising Lot 3.  </w:t>
      </w:r>
    </w:p>
    <w:p w14:paraId="08346522" w14:textId="313D6637" w:rsidR="00B7529B" w:rsidRDefault="00B7529B" w:rsidP="00B7529B">
      <w:pPr>
        <w:pStyle w:val="ITTBody3"/>
        <w:spacing w:after="0"/>
      </w:pPr>
      <w:r>
        <w:t xml:space="preserve">Please see Table 1 for a list of modules usually required to fulfil a Lot </w:t>
      </w:r>
      <w:r w:rsidR="002E3A8B">
        <w:t>3</w:t>
      </w:r>
      <w:r>
        <w:t xml:space="preserve"> project.</w:t>
      </w:r>
    </w:p>
    <w:p w14:paraId="006F8D99" w14:textId="5D29A9F5" w:rsidR="00DE0FDA" w:rsidRPr="00F86A02" w:rsidDel="005C2C9F" w:rsidRDefault="00DE0FDA" w:rsidP="00FA551F">
      <w:pPr>
        <w:pStyle w:val="Heading2"/>
      </w:pPr>
      <w:bookmarkStart w:id="46" w:name="_Toc495071786"/>
      <w:r w:rsidRPr="00F86A02" w:rsidDel="005C2C9F">
        <w:t xml:space="preserve">Technical </w:t>
      </w:r>
      <w:r w:rsidR="00A67333">
        <w:t>assessment</w:t>
      </w:r>
      <w:bookmarkEnd w:id="46"/>
    </w:p>
    <w:p w14:paraId="5297E958" w14:textId="2D8C95CA" w:rsidR="00DE0FDA" w:rsidRPr="00DD3168" w:rsidDel="005C2C9F" w:rsidRDefault="00DE0FDA" w:rsidP="00DE0FDA">
      <w:pPr>
        <w:pStyle w:val="ITTBody3"/>
      </w:pPr>
      <w:r w:rsidRPr="00DD3168" w:rsidDel="005C2C9F">
        <w:t>Some medical technologies have particular features that mean that usability or technical factors will materially affect the product’s performance, and hence its ability to deliver the potential benefits claimed for it. This may apply, for example, to products which depend on compatibility with other equipment - or use in a particular way - for optimal performance.  It could also apply for example to in vitro diagnostics where sensitivity and specificity levels achieved in research settings cannot be replicated in normal laboratory conditions.</w:t>
      </w:r>
      <w:r w:rsidR="009A031B">
        <w:t xml:space="preserve">  In addition, NICE produces guidance and advice on in-scope digital products and apps, which may require technical testing, having regard to </w:t>
      </w:r>
      <w:r w:rsidR="00021806">
        <w:t xml:space="preserve">current developments in digital technical assessment (see for example: </w:t>
      </w:r>
      <w:hyperlink r:id="rId10" w:history="1">
        <w:r w:rsidR="00021806" w:rsidRPr="00E77310">
          <w:rPr>
            <w:rStyle w:val="Hyperlink"/>
          </w:rPr>
          <w:t>https://developer.nhs.uk/daq/</w:t>
        </w:r>
      </w:hyperlink>
      <w:r w:rsidR="00021806">
        <w:t xml:space="preserve">).  </w:t>
      </w:r>
    </w:p>
    <w:p w14:paraId="28DFA8BE" w14:textId="77777777" w:rsidR="00DE0FDA" w:rsidDel="005C2C9F" w:rsidRDefault="00DE0FDA" w:rsidP="00DE0FDA">
      <w:pPr>
        <w:pStyle w:val="ITTBodyLevel2"/>
        <w:numPr>
          <w:ilvl w:val="0"/>
          <w:numId w:val="0"/>
        </w:numPr>
        <w:rPr>
          <w:sz w:val="24"/>
        </w:rPr>
      </w:pPr>
      <w:r w:rsidRPr="00DD3168" w:rsidDel="005C2C9F">
        <w:rPr>
          <w:sz w:val="24"/>
        </w:rPr>
        <w:t>At the</w:t>
      </w:r>
      <w:r w:rsidDel="005C2C9F">
        <w:rPr>
          <w:sz w:val="24"/>
        </w:rPr>
        <w:t xml:space="preserve"> guidance</w:t>
      </w:r>
      <w:r w:rsidRPr="00DD3168" w:rsidDel="005C2C9F">
        <w:rPr>
          <w:sz w:val="24"/>
        </w:rPr>
        <w:t xml:space="preserve"> scoping stage, issues </w:t>
      </w:r>
      <w:r w:rsidDel="005C2C9F">
        <w:rPr>
          <w:sz w:val="24"/>
        </w:rPr>
        <w:t xml:space="preserve">identified at the selection decisions or </w:t>
      </w:r>
      <w:r w:rsidRPr="00DD3168" w:rsidDel="005C2C9F">
        <w:rPr>
          <w:sz w:val="24"/>
        </w:rPr>
        <w:t xml:space="preserve">from the published literature and expert advice will normally determine whether a technical advice component is required to help formulate draft </w:t>
      </w:r>
      <w:r w:rsidDel="005C2C9F">
        <w:rPr>
          <w:sz w:val="24"/>
        </w:rPr>
        <w:t xml:space="preserve">guidance </w:t>
      </w:r>
      <w:r w:rsidRPr="00DD3168" w:rsidDel="005C2C9F">
        <w:rPr>
          <w:sz w:val="24"/>
        </w:rPr>
        <w:t xml:space="preserve">recommendations. </w:t>
      </w:r>
    </w:p>
    <w:p w14:paraId="275942D0" w14:textId="0FC27EC5" w:rsidR="00DE0FDA" w:rsidDel="005C2C9F" w:rsidRDefault="00DE0FDA" w:rsidP="00DE0FDA">
      <w:pPr>
        <w:pStyle w:val="ITTBodyLevel2"/>
        <w:numPr>
          <w:ilvl w:val="0"/>
          <w:numId w:val="0"/>
        </w:numPr>
        <w:rPr>
          <w:sz w:val="24"/>
        </w:rPr>
      </w:pPr>
      <w:r w:rsidRPr="00DD3168" w:rsidDel="005C2C9F">
        <w:rPr>
          <w:sz w:val="24"/>
        </w:rPr>
        <w:lastRenderedPageBreak/>
        <w:t>At later stages, technical advice may form part of NICE’s implementation advice which is published at the same time as the guidance.  The EAC may be involved in the identification of such issues and may liaise with NICE during the period of guidance development to determine what that advice should contain, and what technical evaluation might be required to achieve this.  This could include bench testing or simulation of performance where no evidence is available.</w:t>
      </w:r>
      <w:r w:rsidDel="005C2C9F">
        <w:rPr>
          <w:sz w:val="24"/>
        </w:rPr>
        <w:t xml:space="preserve"> Previous examples of technical testing have included:</w:t>
      </w:r>
      <w:r w:rsidRPr="009F067A" w:rsidDel="005C2C9F">
        <w:rPr>
          <w:sz w:val="24"/>
        </w:rPr>
        <w:t xml:space="preserve"> </w:t>
      </w:r>
    </w:p>
    <w:p w14:paraId="2664EB79" w14:textId="77777777" w:rsidR="00DE0FDA" w:rsidRPr="009F067A" w:rsidDel="005C2C9F" w:rsidRDefault="00DE0FDA" w:rsidP="00CB440B">
      <w:pPr>
        <w:pStyle w:val="ITTBodyLevel2"/>
        <w:numPr>
          <w:ilvl w:val="0"/>
          <w:numId w:val="14"/>
        </w:numPr>
        <w:rPr>
          <w:sz w:val="24"/>
        </w:rPr>
      </w:pPr>
      <w:r w:rsidRPr="009F067A" w:rsidDel="005C2C9F">
        <w:rPr>
          <w:sz w:val="24"/>
        </w:rPr>
        <w:t>X-ray transmissibility of a heating blanket;</w:t>
      </w:r>
    </w:p>
    <w:p w14:paraId="08AA467F" w14:textId="77777777" w:rsidR="00DE0FDA" w:rsidRPr="009F067A" w:rsidDel="005C2C9F" w:rsidRDefault="00DE0FDA" w:rsidP="00CB440B">
      <w:pPr>
        <w:pStyle w:val="ITTBodyLevel2"/>
        <w:numPr>
          <w:ilvl w:val="0"/>
          <w:numId w:val="14"/>
        </w:numPr>
        <w:rPr>
          <w:sz w:val="24"/>
        </w:rPr>
      </w:pPr>
      <w:r w:rsidRPr="009F067A" w:rsidDel="005C2C9F">
        <w:rPr>
          <w:sz w:val="24"/>
        </w:rPr>
        <w:t>Performance of an earth electrode for use in the operating theatre under adverse conditions.</w:t>
      </w:r>
    </w:p>
    <w:p w14:paraId="075F18D5" w14:textId="77777777" w:rsidR="00DE0FDA" w:rsidRPr="009F067A" w:rsidDel="005C2C9F" w:rsidRDefault="00DE0FDA" w:rsidP="00DE0FDA">
      <w:pPr>
        <w:pStyle w:val="ITTBodyLevel2"/>
        <w:numPr>
          <w:ilvl w:val="0"/>
          <w:numId w:val="0"/>
        </w:numPr>
        <w:ind w:left="60"/>
        <w:rPr>
          <w:sz w:val="24"/>
        </w:rPr>
      </w:pPr>
      <w:r w:rsidRPr="009F067A" w:rsidDel="005C2C9F">
        <w:rPr>
          <w:sz w:val="24"/>
        </w:rPr>
        <w:t>It is expected that staff performing this work will be appropriately qualified and probably Clinical Scientists registered with the HCPC.</w:t>
      </w:r>
    </w:p>
    <w:p w14:paraId="66485AAD" w14:textId="738652E9" w:rsidR="00DE0FDA" w:rsidRPr="008B1460" w:rsidDel="005C2C9F" w:rsidRDefault="00DE0FDA" w:rsidP="00FA551F">
      <w:pPr>
        <w:pStyle w:val="Heading2"/>
      </w:pPr>
      <w:bookmarkStart w:id="47" w:name="_Toc495071787"/>
      <w:r w:rsidRPr="00DD3168" w:rsidDel="005C2C9F">
        <w:t xml:space="preserve">Technical </w:t>
      </w:r>
      <w:r w:rsidR="00B7529B">
        <w:t>supplement</w:t>
      </w:r>
      <w:bookmarkEnd w:id="47"/>
    </w:p>
    <w:p w14:paraId="00CB7AA4" w14:textId="0D3254F7" w:rsidR="00DE0FDA" w:rsidRPr="00DD3168" w:rsidDel="005C2C9F" w:rsidRDefault="00DE0FDA" w:rsidP="00DE0FDA">
      <w:pPr>
        <w:pStyle w:val="ITTBody3"/>
      </w:pPr>
      <w:r w:rsidRPr="00DD3168" w:rsidDel="005C2C9F">
        <w:t xml:space="preserve">A technical </w:t>
      </w:r>
      <w:r w:rsidR="00B7529B">
        <w:t>supplement</w:t>
      </w:r>
      <w:r w:rsidR="00B7529B" w:rsidRPr="00DD3168" w:rsidDel="005C2C9F">
        <w:t xml:space="preserve"> </w:t>
      </w:r>
      <w:r w:rsidRPr="00DD3168" w:rsidDel="005C2C9F">
        <w:t xml:space="preserve">may be appropriate where there have been limited developments in the evidence base since the guidance was published, and where an update was unlikely to fundamentally change the recommendations in the guidance but where the development of the product or technologies assessed in the guidance and availability of new technologies relevant to the topic result in the technical features of the guidance being regarded as out of date.  </w:t>
      </w:r>
    </w:p>
    <w:p w14:paraId="192C8640" w14:textId="6C4358D5" w:rsidR="00DE0FDA" w:rsidRPr="00DD3168" w:rsidDel="005C2C9F" w:rsidRDefault="00DE0FDA" w:rsidP="00DE0FDA">
      <w:pPr>
        <w:pStyle w:val="ITTBody3"/>
      </w:pPr>
      <w:r w:rsidRPr="00DD3168" w:rsidDel="005C2C9F">
        <w:t xml:space="preserve">NICE expects that the output of this </w:t>
      </w:r>
      <w:r w:rsidR="00687C65">
        <w:t>module</w:t>
      </w:r>
      <w:r w:rsidRPr="00DD3168" w:rsidDel="005C2C9F">
        <w:t xml:space="preserve"> will be a technical </w:t>
      </w:r>
      <w:r w:rsidR="00B7529B">
        <w:t>supplement</w:t>
      </w:r>
      <w:r w:rsidR="00B7529B" w:rsidRPr="00DD3168" w:rsidDel="005C2C9F">
        <w:t xml:space="preserve"> </w:t>
      </w:r>
      <w:r w:rsidRPr="00DD3168" w:rsidDel="005C2C9F">
        <w:t>report, with its main elements likely to include:</w:t>
      </w:r>
    </w:p>
    <w:p w14:paraId="5C270038" w14:textId="77777777" w:rsidR="00DE0FDA" w:rsidRPr="00DD3168" w:rsidDel="005C2C9F" w:rsidRDefault="00DE0FDA" w:rsidP="00CB440B">
      <w:pPr>
        <w:pStyle w:val="ITTBullet1"/>
        <w:numPr>
          <w:ilvl w:val="0"/>
          <w:numId w:val="11"/>
        </w:numPr>
        <w:rPr>
          <w:sz w:val="24"/>
        </w:rPr>
      </w:pPr>
      <w:r w:rsidRPr="00DD3168" w:rsidDel="005C2C9F">
        <w:rPr>
          <w:sz w:val="24"/>
        </w:rPr>
        <w:t>Key developments to the product or technologies included in the original guidance arising from factors such as new versions of the product(s), updates to associated software, or other changes to the technical specification</w:t>
      </w:r>
    </w:p>
    <w:p w14:paraId="5F4047CF" w14:textId="77777777" w:rsidR="00DE0FDA" w:rsidRPr="00DD3168" w:rsidDel="005C2C9F" w:rsidRDefault="00DE0FDA" w:rsidP="00CB440B">
      <w:pPr>
        <w:pStyle w:val="ITTBullet1"/>
        <w:numPr>
          <w:ilvl w:val="0"/>
          <w:numId w:val="11"/>
        </w:numPr>
        <w:rPr>
          <w:sz w:val="24"/>
        </w:rPr>
      </w:pPr>
      <w:r w:rsidRPr="00DD3168" w:rsidDel="005C2C9F">
        <w:rPr>
          <w:sz w:val="24"/>
        </w:rPr>
        <w:t>Updated cost information on the product(s) in the original guidance and any new versions</w:t>
      </w:r>
    </w:p>
    <w:p w14:paraId="400FC217" w14:textId="77777777" w:rsidR="00DE0FDA" w:rsidRPr="00DD3168" w:rsidDel="005C2C9F" w:rsidRDefault="00DE0FDA" w:rsidP="00CB440B">
      <w:pPr>
        <w:pStyle w:val="ITTBullet1"/>
        <w:numPr>
          <w:ilvl w:val="0"/>
          <w:numId w:val="11"/>
        </w:numPr>
        <w:rPr>
          <w:sz w:val="24"/>
        </w:rPr>
      </w:pPr>
      <w:r w:rsidRPr="00DD3168" w:rsidDel="005C2C9F">
        <w:rPr>
          <w:sz w:val="24"/>
        </w:rPr>
        <w:t>New technologies relevant to the topic, including cost information</w:t>
      </w:r>
    </w:p>
    <w:p w14:paraId="3795C9CB" w14:textId="77777777" w:rsidR="00DE0FDA" w:rsidRPr="00DD3168" w:rsidDel="005C2C9F" w:rsidRDefault="00DE0FDA" w:rsidP="00CB440B">
      <w:pPr>
        <w:pStyle w:val="ITTBullet1"/>
        <w:numPr>
          <w:ilvl w:val="0"/>
          <w:numId w:val="11"/>
        </w:numPr>
        <w:rPr>
          <w:sz w:val="24"/>
        </w:rPr>
      </w:pPr>
      <w:r w:rsidRPr="00DD3168" w:rsidDel="005C2C9F">
        <w:rPr>
          <w:sz w:val="24"/>
        </w:rPr>
        <w:t>A list of technologies currently available for use in UK clinical practice that should be considered as consistent with the guidance recommendations.</w:t>
      </w:r>
    </w:p>
    <w:p w14:paraId="086B37A2" w14:textId="4755FDDC" w:rsidR="00DE0FDA" w:rsidDel="005C2C9F" w:rsidRDefault="00DE0FDA" w:rsidP="00DE0FDA">
      <w:pPr>
        <w:pStyle w:val="ITTBody3"/>
      </w:pPr>
      <w:r w:rsidRPr="00DD3168" w:rsidDel="005C2C9F">
        <w:t xml:space="preserve">It is anticipated that technical </w:t>
      </w:r>
      <w:r w:rsidR="00B7529B">
        <w:t>supplement</w:t>
      </w:r>
      <w:r w:rsidR="00B7529B" w:rsidRPr="00DD3168" w:rsidDel="005C2C9F">
        <w:t xml:space="preserve"> </w:t>
      </w:r>
      <w:r w:rsidRPr="00DD3168" w:rsidDel="005C2C9F">
        <w:t xml:space="preserve">reports will be published as a supplement to the guidance document following approval by NICE. It should be noted this is a new </w:t>
      </w:r>
      <w:r w:rsidR="00294036">
        <w:t>module</w:t>
      </w:r>
      <w:r w:rsidRPr="00DD3168" w:rsidDel="005C2C9F">
        <w:t xml:space="preserve"> which may be subject to further refinement during the life of the contract.</w:t>
      </w:r>
    </w:p>
    <w:p w14:paraId="00B24752" w14:textId="6C4AA190" w:rsidR="0097558C" w:rsidRDefault="009F067A" w:rsidP="00FA551F">
      <w:pPr>
        <w:pStyle w:val="Heading2"/>
      </w:pPr>
      <w:bookmarkStart w:id="48" w:name="_Toc483313648"/>
      <w:bookmarkStart w:id="49" w:name="_Toc484419299"/>
      <w:bookmarkStart w:id="50" w:name="_Toc484422244"/>
      <w:bookmarkStart w:id="51" w:name="_Toc355358448"/>
      <w:bookmarkStart w:id="52" w:name="_Toc355616723"/>
      <w:bookmarkStart w:id="53" w:name="_Toc355616837"/>
      <w:bookmarkStart w:id="54" w:name="_Toc355625183"/>
      <w:bookmarkStart w:id="55" w:name="_Toc355625276"/>
      <w:bookmarkStart w:id="56" w:name="_Toc355700669"/>
      <w:bookmarkStart w:id="57" w:name="_Toc357763939"/>
      <w:bookmarkStart w:id="58" w:name="_Toc357767445"/>
      <w:bookmarkStart w:id="59" w:name="_Toc358279851"/>
      <w:bookmarkStart w:id="60" w:name="_Toc358281549"/>
      <w:bookmarkStart w:id="61" w:name="_Toc483313649"/>
      <w:bookmarkStart w:id="62" w:name="_Toc484419300"/>
      <w:bookmarkStart w:id="63" w:name="_Toc484422245"/>
      <w:bookmarkStart w:id="64" w:name="_Toc495071788"/>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Regulatory analysis</w:t>
      </w:r>
      <w:bookmarkEnd w:id="64"/>
    </w:p>
    <w:p w14:paraId="5266BDC6" w14:textId="77486561" w:rsidR="0097558C" w:rsidRDefault="0097558C" w:rsidP="00DC7D27">
      <w:pPr>
        <w:pStyle w:val="ITTBody3"/>
      </w:pPr>
      <w:r>
        <w:t xml:space="preserve">Medical technologies involved in procedures assessed in NICE Interventional Procedures guidance must have CE marking for the purpose featured in the guidance.  One of the </w:t>
      </w:r>
      <w:r w:rsidR="005469A8">
        <w:t>suppliers under Lot 3</w:t>
      </w:r>
      <w:r>
        <w:t xml:space="preserve"> will be commissioned to provide the </w:t>
      </w:r>
      <w:r w:rsidR="005C2C9F">
        <w:t xml:space="preserve">regulatory </w:t>
      </w:r>
      <w:r>
        <w:t>advice service on whether CE marking</w:t>
      </w:r>
      <w:r w:rsidR="00E451D1">
        <w:t xml:space="preserve"> for a technology</w:t>
      </w:r>
      <w:r>
        <w:t xml:space="preserve"> </w:t>
      </w:r>
      <w:r w:rsidR="005469A8">
        <w:t>applies to</w:t>
      </w:r>
      <w:r w:rsidR="00E451D1">
        <w:t xml:space="preserve"> the procedure in which it is proposed to be used</w:t>
      </w:r>
      <w:r>
        <w:t xml:space="preserve">. This will involve receiving </w:t>
      </w:r>
      <w:r w:rsidR="00E451D1">
        <w:t>notifications from the</w:t>
      </w:r>
      <w:r>
        <w:t xml:space="preserve"> NICE IPP team on</w:t>
      </w:r>
      <w:r w:rsidR="00E451D1">
        <w:t xml:space="preserve"> procedures on which they are considering producing guidance and which involve the use of a technology</w:t>
      </w:r>
      <w:r>
        <w:t xml:space="preserve">. For each technology, the EAC will provide an opinion </w:t>
      </w:r>
      <w:r w:rsidR="00E451D1">
        <w:t xml:space="preserve">(using a template supplied by NICE) </w:t>
      </w:r>
      <w:r>
        <w:t xml:space="preserve">as to whether the suggested use in that procedure is covered by its CE marking, </w:t>
      </w:r>
      <w:r w:rsidR="00E451D1">
        <w:t xml:space="preserve">and </w:t>
      </w:r>
      <w:r w:rsidR="00E451D1" w:rsidRPr="00E451D1">
        <w:t xml:space="preserve">that the medical </w:t>
      </w:r>
      <w:r w:rsidR="00E451D1">
        <w:t>technology</w:t>
      </w:r>
      <w:r w:rsidR="009866AD">
        <w:t xml:space="preserve"> company</w:t>
      </w:r>
      <w:r w:rsidR="00E451D1" w:rsidRPr="00E451D1">
        <w:t xml:space="preserve"> complies with the relevant European Union Directive on safety, </w:t>
      </w:r>
      <w:r w:rsidR="00E451D1" w:rsidRPr="00E451D1">
        <w:lastRenderedPageBreak/>
        <w:t>quality and performance.</w:t>
      </w:r>
      <w:r>
        <w:t xml:space="preserve">  The EAC normally has </w:t>
      </w:r>
      <w:r w:rsidR="00636BAE">
        <w:t xml:space="preserve">1 month </w:t>
      </w:r>
      <w:r>
        <w:t xml:space="preserve">to give this opinion on each requested device.  </w:t>
      </w:r>
    </w:p>
    <w:p w14:paraId="4F5C03B9" w14:textId="1807BC7B" w:rsidR="003C25CB" w:rsidRDefault="003C25CB">
      <w:pPr>
        <w:spacing w:after="0" w:line="240" w:lineRule="auto"/>
        <w:rPr>
          <w:rFonts w:ascii="Arial" w:hAnsi="Arial" w:cs="Arial"/>
          <w:sz w:val="24"/>
        </w:rPr>
      </w:pPr>
      <w:r>
        <w:br w:type="page"/>
      </w:r>
    </w:p>
    <w:p w14:paraId="4FB1631D" w14:textId="7FFFC7A6" w:rsidR="002765DE" w:rsidRDefault="002765DE" w:rsidP="002765DE">
      <w:pPr>
        <w:pStyle w:val="Heading1"/>
        <w:numPr>
          <w:ilvl w:val="0"/>
          <w:numId w:val="0"/>
        </w:numPr>
      </w:pPr>
      <w:bookmarkStart w:id="65" w:name="_Toc478022700"/>
      <w:bookmarkStart w:id="66" w:name="_Toc495071789"/>
      <w:r w:rsidRPr="00173207">
        <w:lastRenderedPageBreak/>
        <w:t xml:space="preserve">Appendix </w:t>
      </w:r>
      <w:r>
        <w:t>A</w:t>
      </w:r>
      <w:r w:rsidRPr="00173207">
        <w:t xml:space="preserve"> – </w:t>
      </w:r>
      <w:r>
        <w:t>Examples of published outputs for the main work package types</w:t>
      </w:r>
      <w:bookmarkEnd w:id="66"/>
    </w:p>
    <w:p w14:paraId="731B1EC7" w14:textId="77777777" w:rsidR="002765DE" w:rsidRPr="002765DE" w:rsidRDefault="002765DE" w:rsidP="002765DE"/>
    <w:tbl>
      <w:tblPr>
        <w:tblW w:w="9060" w:type="dxa"/>
        <w:tblInd w:w="7" w:type="dxa"/>
        <w:tblLayout w:type="fixed"/>
        <w:tblCellMar>
          <w:left w:w="0" w:type="dxa"/>
          <w:right w:w="0" w:type="dxa"/>
        </w:tblCellMar>
        <w:tblLook w:val="04A0" w:firstRow="1" w:lastRow="0" w:firstColumn="1" w:lastColumn="0" w:noHBand="0" w:noVBand="1"/>
      </w:tblPr>
      <w:tblGrid>
        <w:gridCol w:w="2929"/>
        <w:gridCol w:w="6131"/>
      </w:tblGrid>
      <w:tr w:rsidR="000077D8" w14:paraId="7E2A3B97" w14:textId="77777777" w:rsidTr="001E6C80">
        <w:trPr>
          <w:trHeight w:val="342"/>
        </w:trPr>
        <w:tc>
          <w:tcPr>
            <w:tcW w:w="9060" w:type="dxa"/>
            <w:gridSpan w:val="2"/>
            <w:tcBorders>
              <w:top w:val="single" w:sz="4" w:space="0" w:color="auto"/>
              <w:left w:val="single" w:sz="4" w:space="0" w:color="auto"/>
              <w:bottom w:val="single" w:sz="4" w:space="0" w:color="auto"/>
              <w:right w:val="single" w:sz="4" w:space="0" w:color="auto"/>
            </w:tcBorders>
            <w:shd w:val="clear" w:color="auto" w:fill="95B3D7" w:themeFill="accent1" w:themeFillTint="99"/>
            <w:noWrap/>
            <w:tcMar>
              <w:top w:w="0" w:type="dxa"/>
              <w:left w:w="108" w:type="dxa"/>
              <w:bottom w:w="0" w:type="dxa"/>
              <w:right w:w="108" w:type="dxa"/>
            </w:tcMar>
            <w:vAlign w:val="bottom"/>
          </w:tcPr>
          <w:p w14:paraId="256A6826" w14:textId="7B32323E" w:rsidR="000077D8" w:rsidRPr="003A3D75" w:rsidRDefault="000077D8" w:rsidP="00FE545B">
            <w:pPr>
              <w:jc w:val="both"/>
              <w:rPr>
                <w:rFonts w:ascii="Arial" w:hAnsi="Arial" w:cs="Arial"/>
                <w:sz w:val="20"/>
                <w:szCs w:val="20"/>
                <w:lang w:eastAsia="en-GB"/>
              </w:rPr>
            </w:pPr>
            <w:r w:rsidRPr="003A3D75">
              <w:rPr>
                <w:rFonts w:ascii="Arial" w:hAnsi="Arial" w:cs="Arial"/>
                <w:b/>
                <w:bCs/>
                <w:color w:val="000000"/>
                <w:lang w:eastAsia="en-GB"/>
              </w:rPr>
              <w:t>LOT 3 - TECHNICAL REGULATORY SUPPORT</w:t>
            </w:r>
          </w:p>
        </w:tc>
      </w:tr>
      <w:tr w:rsidR="00FE545B" w14:paraId="1E70F5C5" w14:textId="77777777" w:rsidTr="001E6C80">
        <w:trPr>
          <w:trHeight w:val="326"/>
        </w:trPr>
        <w:tc>
          <w:tcPr>
            <w:tcW w:w="2929" w:type="dxa"/>
            <w:tcBorders>
              <w:top w:val="nil"/>
              <w:left w:val="single" w:sz="8" w:space="0" w:color="auto"/>
              <w:bottom w:val="single" w:sz="4" w:space="0" w:color="auto"/>
              <w:right w:val="single" w:sz="4" w:space="0" w:color="auto"/>
            </w:tcBorders>
            <w:shd w:val="clear" w:color="auto" w:fill="95B3D7" w:themeFill="accent1" w:themeFillTint="99"/>
            <w:tcMar>
              <w:top w:w="0" w:type="dxa"/>
              <w:left w:w="108" w:type="dxa"/>
              <w:bottom w:w="0" w:type="dxa"/>
              <w:right w:w="108" w:type="dxa"/>
            </w:tcMar>
            <w:vAlign w:val="bottom"/>
          </w:tcPr>
          <w:p w14:paraId="7C1B954F" w14:textId="1CA4E8D5" w:rsidR="00FE545B" w:rsidRPr="003A3D75" w:rsidRDefault="00FE545B" w:rsidP="00FE545B">
            <w:pPr>
              <w:jc w:val="center"/>
              <w:rPr>
                <w:rFonts w:ascii="Arial" w:hAnsi="Arial" w:cs="Arial"/>
                <w:b/>
                <w:bCs/>
                <w:lang w:eastAsia="en-GB"/>
              </w:rPr>
            </w:pPr>
            <w:r w:rsidRPr="003A3D75">
              <w:rPr>
                <w:rFonts w:ascii="Arial" w:hAnsi="Arial" w:cs="Arial"/>
                <w:b/>
                <w:bCs/>
                <w:color w:val="000000"/>
                <w:lang w:eastAsia="en-GB"/>
              </w:rPr>
              <w:t>Work package</w:t>
            </w:r>
          </w:p>
        </w:tc>
        <w:tc>
          <w:tcPr>
            <w:tcW w:w="6131" w:type="dxa"/>
            <w:tcBorders>
              <w:top w:val="single" w:sz="4" w:space="0" w:color="auto"/>
              <w:left w:val="single" w:sz="4" w:space="0" w:color="auto"/>
              <w:bottom w:val="single" w:sz="4" w:space="0" w:color="auto"/>
              <w:right w:val="single" w:sz="4" w:space="0" w:color="auto"/>
            </w:tcBorders>
            <w:shd w:val="clear" w:color="auto" w:fill="95B3D7" w:themeFill="accent1" w:themeFillTint="99"/>
            <w:vAlign w:val="bottom"/>
          </w:tcPr>
          <w:p w14:paraId="493C03F7" w14:textId="7D84E2BB" w:rsidR="00FE545B" w:rsidRPr="003A3D75" w:rsidRDefault="00FE545B" w:rsidP="00FE545B">
            <w:pPr>
              <w:rPr>
                <w:rFonts w:ascii="Arial" w:hAnsi="Arial" w:cs="Arial"/>
                <w:color w:val="1F497D"/>
                <w:lang w:eastAsia="en-GB"/>
              </w:rPr>
            </w:pPr>
            <w:r w:rsidRPr="003A3D75">
              <w:rPr>
                <w:rFonts w:ascii="Arial" w:hAnsi="Arial" w:cs="Arial"/>
                <w:b/>
                <w:bCs/>
                <w:color w:val="000000"/>
                <w:lang w:eastAsia="en-GB"/>
              </w:rPr>
              <w:t>Project Example</w:t>
            </w:r>
          </w:p>
        </w:tc>
      </w:tr>
      <w:tr w:rsidR="002E6C1C" w14:paraId="1FEE5A2A" w14:textId="77777777" w:rsidTr="005B5AE1">
        <w:trPr>
          <w:trHeight w:val="326"/>
        </w:trPr>
        <w:tc>
          <w:tcPr>
            <w:tcW w:w="2929" w:type="dxa"/>
            <w:vMerge w:val="restart"/>
            <w:tcBorders>
              <w:top w:val="single" w:sz="4" w:space="0" w:color="auto"/>
              <w:left w:val="single" w:sz="8" w:space="0" w:color="auto"/>
              <w:right w:val="single" w:sz="4" w:space="0" w:color="auto"/>
            </w:tcBorders>
            <w:shd w:val="clear" w:color="auto" w:fill="DDEBF7"/>
            <w:tcMar>
              <w:top w:w="0" w:type="dxa"/>
              <w:left w:w="108" w:type="dxa"/>
              <w:bottom w:w="0" w:type="dxa"/>
              <w:right w:w="108" w:type="dxa"/>
            </w:tcMar>
            <w:vAlign w:val="center"/>
            <w:hideMark/>
          </w:tcPr>
          <w:p w14:paraId="1B4C055A" w14:textId="77777777" w:rsidR="002E6C1C" w:rsidRPr="003A3D75" w:rsidRDefault="002E6C1C" w:rsidP="00FE545B">
            <w:pPr>
              <w:spacing w:before="120" w:after="120"/>
              <w:jc w:val="center"/>
              <w:rPr>
                <w:rFonts w:ascii="Arial" w:hAnsi="Arial" w:cs="Arial"/>
                <w:b/>
                <w:bCs/>
                <w:lang w:eastAsia="en-GB"/>
              </w:rPr>
            </w:pPr>
            <w:r w:rsidRPr="003A3D75">
              <w:rPr>
                <w:rFonts w:ascii="Arial" w:hAnsi="Arial" w:cs="Arial"/>
                <w:b/>
                <w:bCs/>
                <w:lang w:eastAsia="en-GB"/>
              </w:rPr>
              <w:t>D - Technical Evaluation</w:t>
            </w:r>
          </w:p>
        </w:tc>
        <w:tc>
          <w:tcPr>
            <w:tcW w:w="6131" w:type="dxa"/>
            <w:tcBorders>
              <w:top w:val="single" w:sz="4" w:space="0" w:color="auto"/>
              <w:left w:val="single" w:sz="4" w:space="0" w:color="auto"/>
              <w:bottom w:val="single" w:sz="4" w:space="0" w:color="auto"/>
              <w:right w:val="single" w:sz="4" w:space="0" w:color="auto"/>
            </w:tcBorders>
            <w:shd w:val="clear" w:color="auto" w:fill="DDEBF7"/>
          </w:tcPr>
          <w:p w14:paraId="59683CA7" w14:textId="42186EC5" w:rsidR="002E6C1C" w:rsidRPr="002E6C1C" w:rsidRDefault="002E6C1C" w:rsidP="00FE545B">
            <w:pPr>
              <w:spacing w:before="120" w:after="120"/>
              <w:rPr>
                <w:rFonts w:ascii="Arial" w:hAnsi="Arial" w:cs="Arial"/>
                <w:b/>
              </w:rPr>
            </w:pPr>
            <w:r w:rsidRPr="002E6C1C">
              <w:rPr>
                <w:rFonts w:ascii="Arial" w:hAnsi="Arial" w:cs="Arial"/>
                <w:b/>
              </w:rPr>
              <w:t>Technical assessments</w:t>
            </w:r>
          </w:p>
          <w:p w14:paraId="563201F8" w14:textId="77777777" w:rsidR="002E6C1C" w:rsidRDefault="008909B9" w:rsidP="00FE545B">
            <w:pPr>
              <w:spacing w:before="120" w:after="120"/>
              <w:rPr>
                <w:rStyle w:val="Hyperlink"/>
                <w:rFonts w:ascii="Arial" w:hAnsi="Arial" w:cs="Arial"/>
                <w:lang w:eastAsia="en-GB"/>
              </w:rPr>
            </w:pPr>
            <w:hyperlink r:id="rId11" w:history="1">
              <w:r w:rsidR="002E6C1C">
                <w:rPr>
                  <w:rStyle w:val="Hyperlink"/>
                  <w:rFonts w:ascii="Arial" w:hAnsi="Arial" w:cs="Arial"/>
                  <w:lang w:eastAsia="en-GB"/>
                </w:rPr>
                <w:t>HumiGard</w:t>
              </w:r>
              <w:r w:rsidR="002E6C1C" w:rsidRPr="003A3D75">
                <w:rPr>
                  <w:rStyle w:val="Hyperlink"/>
                  <w:rFonts w:ascii="Arial" w:hAnsi="Arial" w:cs="Arial"/>
                  <w:lang w:eastAsia="en-GB"/>
                </w:rPr>
                <w:t xml:space="preserve"> Technical Evaluation</w:t>
              </w:r>
            </w:hyperlink>
          </w:p>
          <w:p w14:paraId="1FB04B50" w14:textId="57826221" w:rsidR="002E6C1C" w:rsidRPr="003A3D75" w:rsidRDefault="008909B9" w:rsidP="00FE545B">
            <w:pPr>
              <w:spacing w:before="120" w:after="120"/>
              <w:rPr>
                <w:rFonts w:ascii="Arial" w:hAnsi="Arial" w:cs="Arial"/>
                <w:lang w:eastAsia="en-GB"/>
              </w:rPr>
            </w:pPr>
            <w:hyperlink r:id="rId12" w:history="1">
              <w:r w:rsidR="002E6C1C" w:rsidRPr="003A3D75">
                <w:rPr>
                  <w:rStyle w:val="Hyperlink"/>
                  <w:rFonts w:ascii="Arial" w:hAnsi="Arial" w:cs="Arial"/>
                </w:rPr>
                <w:t>HeartFlow Technical Evaluation</w:t>
              </w:r>
            </w:hyperlink>
          </w:p>
        </w:tc>
      </w:tr>
      <w:tr w:rsidR="002E6C1C" w14:paraId="47C688DC" w14:textId="77777777" w:rsidTr="005B5AE1">
        <w:trPr>
          <w:trHeight w:val="342"/>
        </w:trPr>
        <w:tc>
          <w:tcPr>
            <w:tcW w:w="2929" w:type="dxa"/>
            <w:vMerge/>
            <w:tcBorders>
              <w:left w:val="single" w:sz="8" w:space="0" w:color="auto"/>
              <w:bottom w:val="single" w:sz="4" w:space="0" w:color="auto"/>
              <w:right w:val="single" w:sz="4" w:space="0" w:color="auto"/>
            </w:tcBorders>
            <w:shd w:val="clear" w:color="auto" w:fill="DDEBF7"/>
            <w:vAlign w:val="center"/>
            <w:hideMark/>
          </w:tcPr>
          <w:p w14:paraId="1605AE57" w14:textId="77777777" w:rsidR="002E6C1C" w:rsidRPr="003A3D75" w:rsidRDefault="002E6C1C" w:rsidP="00FE545B">
            <w:pPr>
              <w:spacing w:before="120" w:after="120"/>
              <w:jc w:val="center"/>
              <w:rPr>
                <w:rFonts w:ascii="Arial" w:hAnsi="Arial" w:cs="Arial"/>
                <w:b/>
                <w:bCs/>
                <w:lang w:eastAsia="en-GB"/>
              </w:rPr>
            </w:pPr>
          </w:p>
        </w:tc>
        <w:tc>
          <w:tcPr>
            <w:tcW w:w="6131" w:type="dxa"/>
            <w:tcBorders>
              <w:top w:val="single" w:sz="4" w:space="0" w:color="auto"/>
              <w:left w:val="single" w:sz="4" w:space="0" w:color="auto"/>
              <w:bottom w:val="single" w:sz="4" w:space="0" w:color="auto"/>
              <w:right w:val="single" w:sz="4" w:space="0" w:color="auto"/>
            </w:tcBorders>
            <w:shd w:val="clear" w:color="auto" w:fill="DDEBF7"/>
          </w:tcPr>
          <w:p w14:paraId="2E7AB9C7" w14:textId="381564C5" w:rsidR="002E6C1C" w:rsidRPr="002E6C1C" w:rsidRDefault="002E6C1C" w:rsidP="002E6C1C">
            <w:pPr>
              <w:spacing w:before="120" w:after="120"/>
              <w:rPr>
                <w:rFonts w:ascii="Arial" w:hAnsi="Arial" w:cs="Arial"/>
                <w:b/>
              </w:rPr>
            </w:pPr>
            <w:r w:rsidRPr="002E6C1C">
              <w:rPr>
                <w:rFonts w:ascii="Arial" w:hAnsi="Arial" w:cs="Arial"/>
                <w:b/>
              </w:rPr>
              <w:t xml:space="preserve">Technical </w:t>
            </w:r>
            <w:r>
              <w:rPr>
                <w:rFonts w:ascii="Arial" w:hAnsi="Arial" w:cs="Arial"/>
                <w:b/>
              </w:rPr>
              <w:t>supple</w:t>
            </w:r>
            <w:r w:rsidRPr="002E6C1C">
              <w:rPr>
                <w:rFonts w:ascii="Arial" w:hAnsi="Arial" w:cs="Arial"/>
                <w:b/>
              </w:rPr>
              <w:t>ments</w:t>
            </w:r>
          </w:p>
          <w:p w14:paraId="72FDF21B" w14:textId="03D18443" w:rsidR="002E6C1C" w:rsidRPr="003A3D75" w:rsidRDefault="008909B9" w:rsidP="0048725D">
            <w:pPr>
              <w:spacing w:before="120" w:after="120"/>
              <w:rPr>
                <w:rFonts w:ascii="Arial" w:hAnsi="Arial" w:cs="Arial"/>
                <w:lang w:eastAsia="en-GB"/>
              </w:rPr>
            </w:pPr>
            <w:hyperlink r:id="rId13" w:history="1">
              <w:r w:rsidR="002E6C1C" w:rsidRPr="00121531">
                <w:rPr>
                  <w:rStyle w:val="Hyperlink"/>
                  <w:rFonts w:ascii="Arial" w:hAnsi="Arial" w:cs="Arial"/>
                </w:rPr>
                <w:t>DG</w:t>
              </w:r>
              <w:r w:rsidR="0048725D">
                <w:rPr>
                  <w:rStyle w:val="Hyperlink"/>
                  <w:rFonts w:ascii="Arial" w:hAnsi="Arial" w:cs="Arial"/>
                </w:rPr>
                <w:t>3</w:t>
              </w:r>
              <w:r w:rsidR="002E6C1C" w:rsidRPr="00121531">
                <w:rPr>
                  <w:rStyle w:val="Hyperlink"/>
                  <w:rFonts w:ascii="Arial" w:hAnsi="Arial" w:cs="Arial"/>
                </w:rPr>
                <w:t xml:space="preserve"> New generation cardiac CT scanners (Aquilion ONE, Brilliance iCT, Discovery CT750 HD and Somatom Definition Flash) for cardiac imaging in people with suspected or known coronary artery disease in whom imaging is difficult with earlier generation CT scanners</w:t>
              </w:r>
            </w:hyperlink>
          </w:p>
        </w:tc>
      </w:tr>
      <w:tr w:rsidR="00FE545B" w14:paraId="5084716A" w14:textId="77777777" w:rsidTr="001E6C80">
        <w:trPr>
          <w:trHeight w:val="326"/>
        </w:trPr>
        <w:tc>
          <w:tcPr>
            <w:tcW w:w="2929" w:type="dxa"/>
            <w:tcBorders>
              <w:top w:val="single" w:sz="4" w:space="0" w:color="auto"/>
              <w:left w:val="single" w:sz="8" w:space="0" w:color="auto"/>
              <w:bottom w:val="single" w:sz="8" w:space="0" w:color="auto"/>
              <w:right w:val="single" w:sz="4" w:space="0" w:color="auto"/>
            </w:tcBorders>
            <w:shd w:val="clear" w:color="auto" w:fill="DDEBF7"/>
            <w:tcMar>
              <w:top w:w="0" w:type="dxa"/>
              <w:left w:w="108" w:type="dxa"/>
              <w:bottom w:w="0" w:type="dxa"/>
              <w:right w:w="108" w:type="dxa"/>
            </w:tcMar>
            <w:vAlign w:val="center"/>
            <w:hideMark/>
          </w:tcPr>
          <w:p w14:paraId="267D303F" w14:textId="77777777" w:rsidR="00FE545B" w:rsidRPr="003A3D75" w:rsidRDefault="00FE545B" w:rsidP="00FE545B">
            <w:pPr>
              <w:spacing w:before="120" w:after="120"/>
              <w:jc w:val="center"/>
              <w:rPr>
                <w:rFonts w:ascii="Arial" w:hAnsi="Arial" w:cs="Arial"/>
                <w:b/>
                <w:bCs/>
                <w:lang w:eastAsia="en-GB"/>
              </w:rPr>
            </w:pPr>
            <w:r w:rsidRPr="003A3D75">
              <w:rPr>
                <w:rFonts w:ascii="Arial" w:hAnsi="Arial" w:cs="Arial"/>
                <w:b/>
                <w:bCs/>
                <w:lang w:eastAsia="en-GB"/>
              </w:rPr>
              <w:t>I - CE Mark Service</w:t>
            </w:r>
          </w:p>
        </w:tc>
        <w:tc>
          <w:tcPr>
            <w:tcW w:w="6131" w:type="dxa"/>
            <w:tcBorders>
              <w:top w:val="single" w:sz="4" w:space="0" w:color="auto"/>
              <w:left w:val="single" w:sz="4" w:space="0" w:color="auto"/>
              <w:bottom w:val="single" w:sz="4" w:space="0" w:color="auto"/>
              <w:right w:val="single" w:sz="4" w:space="0" w:color="auto"/>
            </w:tcBorders>
            <w:shd w:val="clear" w:color="auto" w:fill="DDEBF7"/>
          </w:tcPr>
          <w:p w14:paraId="345A55DE" w14:textId="299A4F3B" w:rsidR="00FE545B" w:rsidRPr="003A3D75" w:rsidRDefault="008909B9" w:rsidP="00FE545B">
            <w:pPr>
              <w:pStyle w:val="Default"/>
              <w:spacing w:before="120" w:after="120"/>
            </w:pPr>
            <w:hyperlink r:id="rId14" w:history="1">
              <w:r w:rsidR="00FE545B" w:rsidRPr="003A3D75">
                <w:rPr>
                  <w:rStyle w:val="Hyperlink"/>
                  <w:bCs/>
                  <w:sz w:val="22"/>
                  <w:szCs w:val="22"/>
                </w:rPr>
                <w:t>CE marking for NICE Interventional Procedure Programme</w:t>
              </w:r>
            </w:hyperlink>
            <w:r w:rsidR="00FE545B" w:rsidRPr="003A3D75">
              <w:rPr>
                <w:bCs/>
                <w:sz w:val="22"/>
                <w:szCs w:val="22"/>
              </w:rPr>
              <w:t xml:space="preserve"> </w:t>
            </w:r>
          </w:p>
        </w:tc>
      </w:tr>
    </w:tbl>
    <w:p w14:paraId="16B98147" w14:textId="77777777" w:rsidR="00FA2DEF" w:rsidRPr="00173207" w:rsidRDefault="00FA2DEF" w:rsidP="001E6C80">
      <w:pPr>
        <w:spacing w:after="0" w:line="240" w:lineRule="auto"/>
      </w:pPr>
      <w:bookmarkStart w:id="67" w:name="_GoBack"/>
      <w:bookmarkEnd w:id="65"/>
      <w:bookmarkEnd w:id="67"/>
    </w:p>
    <w:sectPr w:rsidR="00FA2DEF" w:rsidRPr="00173207" w:rsidSect="001E6C80">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E42D14" w14:textId="77777777" w:rsidR="000C1013" w:rsidRDefault="000C1013">
      <w:r>
        <w:separator/>
      </w:r>
    </w:p>
  </w:endnote>
  <w:endnote w:type="continuationSeparator" w:id="0">
    <w:p w14:paraId="3476E44E" w14:textId="77777777" w:rsidR="000C1013" w:rsidRDefault="000C10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Arial" w:hAnsi="Arial" w:cs="Arial"/>
        <w:sz w:val="20"/>
        <w:szCs w:val="20"/>
      </w:rPr>
      <w:id w:val="266317178"/>
      <w:docPartObj>
        <w:docPartGallery w:val="Page Numbers (Bottom of Page)"/>
        <w:docPartUnique/>
      </w:docPartObj>
    </w:sdtPr>
    <w:sdtEndPr/>
    <w:sdtContent>
      <w:sdt>
        <w:sdtPr>
          <w:rPr>
            <w:rFonts w:ascii="Arial" w:hAnsi="Arial" w:cs="Arial"/>
            <w:sz w:val="20"/>
            <w:szCs w:val="20"/>
          </w:rPr>
          <w:id w:val="266317179"/>
          <w:docPartObj>
            <w:docPartGallery w:val="Page Numbers (Top of Page)"/>
            <w:docPartUnique/>
          </w:docPartObj>
        </w:sdtPr>
        <w:sdtEndPr/>
        <w:sdtContent>
          <w:p w14:paraId="7E7306E4" w14:textId="77777777" w:rsidR="000C1013" w:rsidRPr="00B622DD" w:rsidRDefault="000C1013" w:rsidP="00DE4DEE">
            <w:pPr>
              <w:tabs>
                <w:tab w:val="center" w:pos="3969"/>
                <w:tab w:val="right" w:pos="8647"/>
              </w:tabs>
              <w:rPr>
                <w:rFonts w:ascii="Arial" w:hAnsi="Arial" w:cs="Arial"/>
                <w:sz w:val="20"/>
                <w:szCs w:val="20"/>
              </w:rPr>
            </w:pPr>
            <w:r>
              <w:rPr>
                <w:rFonts w:ascii="Arial" w:hAnsi="Arial" w:cs="Arial"/>
                <w:sz w:val="20"/>
                <w:szCs w:val="20"/>
              </w:rPr>
              <w:tab/>
              <w:t>Commercial in Confidence</w:t>
            </w:r>
            <w:r>
              <w:rPr>
                <w:rFonts w:ascii="Arial" w:hAnsi="Arial" w:cs="Arial"/>
                <w:sz w:val="20"/>
                <w:szCs w:val="20"/>
              </w:rPr>
              <w:tab/>
            </w:r>
            <w:r w:rsidRPr="00B622DD">
              <w:rPr>
                <w:rFonts w:ascii="Arial" w:hAnsi="Arial" w:cs="Arial"/>
                <w:sz w:val="20"/>
                <w:szCs w:val="20"/>
              </w:rPr>
              <w:t xml:space="preserve">Page </w:t>
            </w:r>
            <w:r w:rsidRPr="00B622DD">
              <w:rPr>
                <w:rFonts w:ascii="Arial" w:hAnsi="Arial" w:cs="Arial"/>
                <w:bCs/>
                <w:sz w:val="20"/>
                <w:szCs w:val="20"/>
              </w:rPr>
              <w:fldChar w:fldCharType="begin"/>
            </w:r>
            <w:r w:rsidRPr="00B622DD">
              <w:rPr>
                <w:rFonts w:ascii="Arial" w:hAnsi="Arial" w:cs="Arial"/>
                <w:bCs/>
                <w:sz w:val="20"/>
                <w:szCs w:val="20"/>
              </w:rPr>
              <w:instrText xml:space="preserve"> PAGE </w:instrText>
            </w:r>
            <w:r w:rsidRPr="00B622DD">
              <w:rPr>
                <w:rFonts w:ascii="Arial" w:hAnsi="Arial" w:cs="Arial"/>
                <w:bCs/>
                <w:sz w:val="20"/>
                <w:szCs w:val="20"/>
              </w:rPr>
              <w:fldChar w:fldCharType="separate"/>
            </w:r>
            <w:r w:rsidR="008909B9">
              <w:rPr>
                <w:rFonts w:ascii="Arial" w:hAnsi="Arial" w:cs="Arial"/>
                <w:bCs/>
                <w:noProof/>
                <w:sz w:val="20"/>
                <w:szCs w:val="20"/>
              </w:rPr>
              <w:t>6</w:t>
            </w:r>
            <w:r w:rsidRPr="00B622DD">
              <w:rPr>
                <w:rFonts w:ascii="Arial" w:hAnsi="Arial" w:cs="Arial"/>
                <w:bCs/>
                <w:sz w:val="20"/>
                <w:szCs w:val="20"/>
              </w:rPr>
              <w:fldChar w:fldCharType="end"/>
            </w:r>
            <w:r w:rsidRPr="00B622DD">
              <w:rPr>
                <w:rFonts w:ascii="Arial" w:hAnsi="Arial" w:cs="Arial"/>
                <w:sz w:val="20"/>
                <w:szCs w:val="20"/>
              </w:rPr>
              <w:t xml:space="preserve"> of </w:t>
            </w:r>
            <w:r w:rsidRPr="00B622DD">
              <w:rPr>
                <w:rFonts w:ascii="Arial" w:hAnsi="Arial" w:cs="Arial"/>
                <w:bCs/>
                <w:sz w:val="20"/>
                <w:szCs w:val="20"/>
              </w:rPr>
              <w:fldChar w:fldCharType="begin"/>
            </w:r>
            <w:r w:rsidRPr="00B622DD">
              <w:rPr>
                <w:rFonts w:ascii="Arial" w:hAnsi="Arial" w:cs="Arial"/>
                <w:bCs/>
                <w:sz w:val="20"/>
                <w:szCs w:val="20"/>
              </w:rPr>
              <w:instrText xml:space="preserve"> NUMPAGES  </w:instrText>
            </w:r>
            <w:r w:rsidRPr="00B622DD">
              <w:rPr>
                <w:rFonts w:ascii="Arial" w:hAnsi="Arial" w:cs="Arial"/>
                <w:bCs/>
                <w:sz w:val="20"/>
                <w:szCs w:val="20"/>
              </w:rPr>
              <w:fldChar w:fldCharType="separate"/>
            </w:r>
            <w:r w:rsidR="008909B9">
              <w:rPr>
                <w:rFonts w:ascii="Arial" w:hAnsi="Arial" w:cs="Arial"/>
                <w:bCs/>
                <w:noProof/>
                <w:sz w:val="20"/>
                <w:szCs w:val="20"/>
              </w:rPr>
              <w:t>6</w:t>
            </w:r>
            <w:r w:rsidRPr="00B622DD">
              <w:rPr>
                <w:rFonts w:ascii="Arial" w:hAnsi="Arial" w:cs="Arial"/>
                <w:bCs/>
                <w:sz w:val="20"/>
                <w:szCs w:val="20"/>
              </w:rPr>
              <w:fldChar w:fldCharType="end"/>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70B789" w14:textId="77777777" w:rsidR="000C1013" w:rsidRDefault="000C1013">
      <w:r>
        <w:separator/>
      </w:r>
    </w:p>
  </w:footnote>
  <w:footnote w:type="continuationSeparator" w:id="0">
    <w:p w14:paraId="0D679CCC" w14:textId="77777777" w:rsidR="000C1013" w:rsidRDefault="000C10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D38548" w14:textId="7095B160" w:rsidR="000C1013" w:rsidRPr="00101637" w:rsidRDefault="000C1013" w:rsidP="00101637">
    <w:pPr>
      <w:spacing w:after="0"/>
      <w:jc w:val="center"/>
      <w:rPr>
        <w:rFonts w:ascii="Arial" w:hAnsi="Arial" w:cs="Arial"/>
      </w:rPr>
    </w:pPr>
    <w:r>
      <w:rPr>
        <w:rFonts w:ascii="Arial" w:hAnsi="Arial" w:cs="Arial"/>
      </w:rPr>
      <w:t>External Assessment Centres</w:t>
    </w:r>
  </w:p>
  <w:p w14:paraId="32ACE81C" w14:textId="77777777" w:rsidR="000C1013" w:rsidRPr="00101637" w:rsidRDefault="000C1013" w:rsidP="00101637">
    <w:pPr>
      <w:jc w:val="center"/>
      <w:rPr>
        <w:rFonts w:ascii="Arial" w:hAnsi="Arial" w:cs="Arial"/>
      </w:rPr>
    </w:pPr>
    <w:r w:rsidRPr="00101637">
      <w:rPr>
        <w:rFonts w:ascii="Arial" w:hAnsi="Arial" w:cs="Arial"/>
      </w:rPr>
      <w:t>Service Specification</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424F08"/>
    <w:multiLevelType w:val="hybridMultilevel"/>
    <w:tmpl w:val="690671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6981506"/>
    <w:multiLevelType w:val="hybridMultilevel"/>
    <w:tmpl w:val="011E44BC"/>
    <w:lvl w:ilvl="0" w:tplc="36ACCAD0">
      <w:start w:val="6"/>
      <w:numFmt w:val="bullet"/>
      <w:lvlText w:val="-"/>
      <w:lvlJc w:val="left"/>
      <w:pPr>
        <w:ind w:left="405" w:hanging="360"/>
      </w:pPr>
      <w:rPr>
        <w:rFonts w:ascii="Times New Roman" w:eastAsia="Times New Roman" w:hAnsi="Times New Roman" w:cs="Times New Roman" w:hint="default"/>
      </w:rPr>
    </w:lvl>
    <w:lvl w:ilvl="1" w:tplc="08090003" w:tentative="1">
      <w:start w:val="1"/>
      <w:numFmt w:val="bullet"/>
      <w:lvlText w:val="o"/>
      <w:lvlJc w:val="left"/>
      <w:pPr>
        <w:ind w:left="1125" w:hanging="360"/>
      </w:pPr>
      <w:rPr>
        <w:rFonts w:ascii="Courier New" w:hAnsi="Courier New" w:cs="Courier New" w:hint="default"/>
      </w:rPr>
    </w:lvl>
    <w:lvl w:ilvl="2" w:tplc="08090005" w:tentative="1">
      <w:start w:val="1"/>
      <w:numFmt w:val="bullet"/>
      <w:lvlText w:val=""/>
      <w:lvlJc w:val="left"/>
      <w:pPr>
        <w:ind w:left="1845" w:hanging="360"/>
      </w:pPr>
      <w:rPr>
        <w:rFonts w:ascii="Wingdings" w:hAnsi="Wingdings" w:hint="default"/>
      </w:rPr>
    </w:lvl>
    <w:lvl w:ilvl="3" w:tplc="08090001" w:tentative="1">
      <w:start w:val="1"/>
      <w:numFmt w:val="bullet"/>
      <w:lvlText w:val=""/>
      <w:lvlJc w:val="left"/>
      <w:pPr>
        <w:ind w:left="2565" w:hanging="360"/>
      </w:pPr>
      <w:rPr>
        <w:rFonts w:ascii="Symbol" w:hAnsi="Symbol" w:hint="default"/>
      </w:rPr>
    </w:lvl>
    <w:lvl w:ilvl="4" w:tplc="08090003" w:tentative="1">
      <w:start w:val="1"/>
      <w:numFmt w:val="bullet"/>
      <w:lvlText w:val="o"/>
      <w:lvlJc w:val="left"/>
      <w:pPr>
        <w:ind w:left="3285" w:hanging="360"/>
      </w:pPr>
      <w:rPr>
        <w:rFonts w:ascii="Courier New" w:hAnsi="Courier New" w:cs="Courier New" w:hint="default"/>
      </w:rPr>
    </w:lvl>
    <w:lvl w:ilvl="5" w:tplc="08090005" w:tentative="1">
      <w:start w:val="1"/>
      <w:numFmt w:val="bullet"/>
      <w:lvlText w:val=""/>
      <w:lvlJc w:val="left"/>
      <w:pPr>
        <w:ind w:left="4005" w:hanging="360"/>
      </w:pPr>
      <w:rPr>
        <w:rFonts w:ascii="Wingdings" w:hAnsi="Wingdings" w:hint="default"/>
      </w:rPr>
    </w:lvl>
    <w:lvl w:ilvl="6" w:tplc="08090001" w:tentative="1">
      <w:start w:val="1"/>
      <w:numFmt w:val="bullet"/>
      <w:lvlText w:val=""/>
      <w:lvlJc w:val="left"/>
      <w:pPr>
        <w:ind w:left="4725" w:hanging="360"/>
      </w:pPr>
      <w:rPr>
        <w:rFonts w:ascii="Symbol" w:hAnsi="Symbol" w:hint="default"/>
      </w:rPr>
    </w:lvl>
    <w:lvl w:ilvl="7" w:tplc="08090003" w:tentative="1">
      <w:start w:val="1"/>
      <w:numFmt w:val="bullet"/>
      <w:lvlText w:val="o"/>
      <w:lvlJc w:val="left"/>
      <w:pPr>
        <w:ind w:left="5445" w:hanging="360"/>
      </w:pPr>
      <w:rPr>
        <w:rFonts w:ascii="Courier New" w:hAnsi="Courier New" w:cs="Courier New" w:hint="default"/>
      </w:rPr>
    </w:lvl>
    <w:lvl w:ilvl="8" w:tplc="08090005" w:tentative="1">
      <w:start w:val="1"/>
      <w:numFmt w:val="bullet"/>
      <w:lvlText w:val=""/>
      <w:lvlJc w:val="left"/>
      <w:pPr>
        <w:ind w:left="6165" w:hanging="360"/>
      </w:pPr>
      <w:rPr>
        <w:rFonts w:ascii="Wingdings" w:hAnsi="Wingdings" w:hint="default"/>
      </w:rPr>
    </w:lvl>
  </w:abstractNum>
  <w:abstractNum w:abstractNumId="2" w15:restartNumberingAfterBreak="0">
    <w:nsid w:val="08A83781"/>
    <w:multiLevelType w:val="hybridMultilevel"/>
    <w:tmpl w:val="40FC87EC"/>
    <w:lvl w:ilvl="0" w:tplc="022225C2">
      <w:start w:val="1"/>
      <w:numFmt w:val="bullet"/>
      <w:pStyle w:val="ITTBullet3"/>
      <w:lvlText w:val=""/>
      <w:lvlJc w:val="left"/>
      <w:pPr>
        <w:ind w:left="1300" w:hanging="360"/>
      </w:pPr>
      <w:rPr>
        <w:rFonts w:ascii="Symbol" w:hAnsi="Symbol" w:hint="default"/>
      </w:rPr>
    </w:lvl>
    <w:lvl w:ilvl="1" w:tplc="08090003">
      <w:start w:val="1"/>
      <w:numFmt w:val="bullet"/>
      <w:lvlText w:val="o"/>
      <w:lvlJc w:val="left"/>
      <w:pPr>
        <w:ind w:left="2020" w:hanging="360"/>
      </w:pPr>
      <w:rPr>
        <w:rFonts w:ascii="Courier New" w:hAnsi="Courier New" w:cs="Courier New" w:hint="default"/>
      </w:rPr>
    </w:lvl>
    <w:lvl w:ilvl="2" w:tplc="08090005" w:tentative="1">
      <w:start w:val="1"/>
      <w:numFmt w:val="bullet"/>
      <w:lvlText w:val=""/>
      <w:lvlJc w:val="left"/>
      <w:pPr>
        <w:ind w:left="2740" w:hanging="360"/>
      </w:pPr>
      <w:rPr>
        <w:rFonts w:ascii="Wingdings" w:hAnsi="Wingdings" w:hint="default"/>
      </w:rPr>
    </w:lvl>
    <w:lvl w:ilvl="3" w:tplc="08090001" w:tentative="1">
      <w:start w:val="1"/>
      <w:numFmt w:val="bullet"/>
      <w:lvlText w:val=""/>
      <w:lvlJc w:val="left"/>
      <w:pPr>
        <w:ind w:left="3460" w:hanging="360"/>
      </w:pPr>
      <w:rPr>
        <w:rFonts w:ascii="Symbol" w:hAnsi="Symbol" w:hint="default"/>
      </w:rPr>
    </w:lvl>
    <w:lvl w:ilvl="4" w:tplc="08090003" w:tentative="1">
      <w:start w:val="1"/>
      <w:numFmt w:val="bullet"/>
      <w:lvlText w:val="o"/>
      <w:lvlJc w:val="left"/>
      <w:pPr>
        <w:ind w:left="4180" w:hanging="360"/>
      </w:pPr>
      <w:rPr>
        <w:rFonts w:ascii="Courier New" w:hAnsi="Courier New" w:cs="Courier New" w:hint="default"/>
      </w:rPr>
    </w:lvl>
    <w:lvl w:ilvl="5" w:tplc="08090005" w:tentative="1">
      <w:start w:val="1"/>
      <w:numFmt w:val="bullet"/>
      <w:lvlText w:val=""/>
      <w:lvlJc w:val="left"/>
      <w:pPr>
        <w:ind w:left="4900" w:hanging="360"/>
      </w:pPr>
      <w:rPr>
        <w:rFonts w:ascii="Wingdings" w:hAnsi="Wingdings" w:hint="default"/>
      </w:rPr>
    </w:lvl>
    <w:lvl w:ilvl="6" w:tplc="08090001" w:tentative="1">
      <w:start w:val="1"/>
      <w:numFmt w:val="bullet"/>
      <w:lvlText w:val=""/>
      <w:lvlJc w:val="left"/>
      <w:pPr>
        <w:ind w:left="5620" w:hanging="360"/>
      </w:pPr>
      <w:rPr>
        <w:rFonts w:ascii="Symbol" w:hAnsi="Symbol" w:hint="default"/>
      </w:rPr>
    </w:lvl>
    <w:lvl w:ilvl="7" w:tplc="08090003" w:tentative="1">
      <w:start w:val="1"/>
      <w:numFmt w:val="bullet"/>
      <w:lvlText w:val="o"/>
      <w:lvlJc w:val="left"/>
      <w:pPr>
        <w:ind w:left="6340" w:hanging="360"/>
      </w:pPr>
      <w:rPr>
        <w:rFonts w:ascii="Courier New" w:hAnsi="Courier New" w:cs="Courier New" w:hint="default"/>
      </w:rPr>
    </w:lvl>
    <w:lvl w:ilvl="8" w:tplc="08090005" w:tentative="1">
      <w:start w:val="1"/>
      <w:numFmt w:val="bullet"/>
      <w:lvlText w:val=""/>
      <w:lvlJc w:val="left"/>
      <w:pPr>
        <w:ind w:left="7060" w:hanging="360"/>
      </w:pPr>
      <w:rPr>
        <w:rFonts w:ascii="Wingdings" w:hAnsi="Wingdings" w:hint="default"/>
      </w:rPr>
    </w:lvl>
  </w:abstractNum>
  <w:abstractNum w:abstractNumId="3" w15:restartNumberingAfterBreak="0">
    <w:nsid w:val="0B600F2A"/>
    <w:multiLevelType w:val="hybridMultilevel"/>
    <w:tmpl w:val="032885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2A14C74"/>
    <w:multiLevelType w:val="hybridMultilevel"/>
    <w:tmpl w:val="686A44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E43F5C"/>
    <w:multiLevelType w:val="multilevel"/>
    <w:tmpl w:val="22161742"/>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1DA334D1"/>
    <w:multiLevelType w:val="hybridMultilevel"/>
    <w:tmpl w:val="DDB2B0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1707D70"/>
    <w:multiLevelType w:val="hybridMultilevel"/>
    <w:tmpl w:val="16E49A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B336F8C"/>
    <w:multiLevelType w:val="multilevel"/>
    <w:tmpl w:val="3F04FA1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2CD64D28"/>
    <w:multiLevelType w:val="hybridMultilevel"/>
    <w:tmpl w:val="9326B6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DC4A7A"/>
    <w:multiLevelType w:val="hybridMultilevel"/>
    <w:tmpl w:val="E1FC31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1A423E2"/>
    <w:multiLevelType w:val="hybridMultilevel"/>
    <w:tmpl w:val="8304A73A"/>
    <w:lvl w:ilvl="0" w:tplc="39EA0DAC">
      <w:start w:val="1"/>
      <w:numFmt w:val="bullet"/>
      <w:lvlText w:val=""/>
      <w:lvlJc w:val="left"/>
      <w:pPr>
        <w:ind w:left="1854" w:hanging="360"/>
      </w:pPr>
      <w:rPr>
        <w:rFonts w:ascii="Symbol" w:hAnsi="Symbol" w:hint="default"/>
      </w:rPr>
    </w:lvl>
    <w:lvl w:ilvl="1" w:tplc="01209E38">
      <w:start w:val="1"/>
      <w:numFmt w:val="bullet"/>
      <w:pStyle w:val="ITTBulletlevel2"/>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2" w15:restartNumberingAfterBreak="0">
    <w:nsid w:val="3C5C5894"/>
    <w:multiLevelType w:val="hybridMultilevel"/>
    <w:tmpl w:val="9E9EAE52"/>
    <w:lvl w:ilvl="0" w:tplc="7A3AA22C">
      <w:start w:val="1"/>
      <w:numFmt w:val="bullet"/>
      <w:pStyle w:val="ITTBullet1"/>
      <w:lvlText w:val=""/>
      <w:lvlJc w:val="left"/>
      <w:pPr>
        <w:ind w:left="-2416" w:hanging="360"/>
      </w:pPr>
      <w:rPr>
        <w:rFonts w:ascii="Wingdings" w:hAnsi="Wingdings" w:hint="default"/>
      </w:rPr>
    </w:lvl>
    <w:lvl w:ilvl="1" w:tplc="0B7A9194">
      <w:numFmt w:val="bullet"/>
      <w:pStyle w:val="ITTBullet2"/>
      <w:lvlText w:val="•"/>
      <w:lvlJc w:val="left"/>
      <w:pPr>
        <w:ind w:left="-1651" w:hanging="405"/>
      </w:pPr>
      <w:rPr>
        <w:rFonts w:ascii="Arial" w:eastAsia="Times New Roman" w:hAnsi="Arial" w:cs="Arial" w:hint="default"/>
      </w:rPr>
    </w:lvl>
    <w:lvl w:ilvl="2" w:tplc="08090005">
      <w:start w:val="1"/>
      <w:numFmt w:val="bullet"/>
      <w:lvlText w:val=""/>
      <w:lvlJc w:val="left"/>
      <w:pPr>
        <w:ind w:left="-976" w:hanging="360"/>
      </w:pPr>
      <w:rPr>
        <w:rFonts w:ascii="Wingdings" w:hAnsi="Wingdings" w:hint="default"/>
      </w:rPr>
    </w:lvl>
    <w:lvl w:ilvl="3" w:tplc="08090001">
      <w:start w:val="1"/>
      <w:numFmt w:val="bullet"/>
      <w:lvlText w:val=""/>
      <w:lvlJc w:val="left"/>
      <w:pPr>
        <w:ind w:left="-256" w:hanging="360"/>
      </w:pPr>
      <w:rPr>
        <w:rFonts w:ascii="Symbol" w:hAnsi="Symbol" w:hint="default"/>
      </w:rPr>
    </w:lvl>
    <w:lvl w:ilvl="4" w:tplc="08090003">
      <w:start w:val="1"/>
      <w:numFmt w:val="bullet"/>
      <w:lvlText w:val="o"/>
      <w:lvlJc w:val="left"/>
      <w:pPr>
        <w:ind w:left="464" w:hanging="360"/>
      </w:pPr>
      <w:rPr>
        <w:rFonts w:ascii="Courier New" w:hAnsi="Courier New" w:cs="Courier New" w:hint="default"/>
      </w:rPr>
    </w:lvl>
    <w:lvl w:ilvl="5" w:tplc="08090005" w:tentative="1">
      <w:start w:val="1"/>
      <w:numFmt w:val="bullet"/>
      <w:lvlText w:val=""/>
      <w:lvlJc w:val="left"/>
      <w:pPr>
        <w:ind w:left="1184" w:hanging="360"/>
      </w:pPr>
      <w:rPr>
        <w:rFonts w:ascii="Wingdings" w:hAnsi="Wingdings" w:hint="default"/>
      </w:rPr>
    </w:lvl>
    <w:lvl w:ilvl="6" w:tplc="08090001" w:tentative="1">
      <w:start w:val="1"/>
      <w:numFmt w:val="bullet"/>
      <w:lvlText w:val=""/>
      <w:lvlJc w:val="left"/>
      <w:pPr>
        <w:ind w:left="1904" w:hanging="360"/>
      </w:pPr>
      <w:rPr>
        <w:rFonts w:ascii="Symbol" w:hAnsi="Symbol" w:hint="default"/>
      </w:rPr>
    </w:lvl>
    <w:lvl w:ilvl="7" w:tplc="08090003" w:tentative="1">
      <w:start w:val="1"/>
      <w:numFmt w:val="bullet"/>
      <w:lvlText w:val="o"/>
      <w:lvlJc w:val="left"/>
      <w:pPr>
        <w:ind w:left="2624" w:hanging="360"/>
      </w:pPr>
      <w:rPr>
        <w:rFonts w:ascii="Courier New" w:hAnsi="Courier New" w:cs="Courier New" w:hint="default"/>
      </w:rPr>
    </w:lvl>
    <w:lvl w:ilvl="8" w:tplc="08090005" w:tentative="1">
      <w:start w:val="1"/>
      <w:numFmt w:val="bullet"/>
      <w:lvlText w:val=""/>
      <w:lvlJc w:val="left"/>
      <w:pPr>
        <w:ind w:left="3344" w:hanging="360"/>
      </w:pPr>
      <w:rPr>
        <w:rFonts w:ascii="Wingdings" w:hAnsi="Wingdings" w:hint="default"/>
      </w:rPr>
    </w:lvl>
  </w:abstractNum>
  <w:abstractNum w:abstractNumId="13" w15:restartNumberingAfterBreak="0">
    <w:nsid w:val="4A26504B"/>
    <w:multiLevelType w:val="hybridMultilevel"/>
    <w:tmpl w:val="26920E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97C41F5"/>
    <w:multiLevelType w:val="hybridMultilevel"/>
    <w:tmpl w:val="CA1AD4EC"/>
    <w:lvl w:ilvl="0" w:tplc="53DA2A8C">
      <w:numFmt w:val="bullet"/>
      <w:lvlText w:val="-"/>
      <w:lvlJc w:val="left"/>
      <w:pPr>
        <w:ind w:left="420" w:hanging="360"/>
      </w:pPr>
      <w:rPr>
        <w:rFonts w:ascii="Arial" w:eastAsia="Times New Roman"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5" w15:restartNumberingAfterBreak="0">
    <w:nsid w:val="5A13563F"/>
    <w:multiLevelType w:val="hybridMultilevel"/>
    <w:tmpl w:val="F17A5504"/>
    <w:lvl w:ilvl="0" w:tplc="94FE3810">
      <w:start w:val="1"/>
      <w:numFmt w:val="bullet"/>
      <w:pStyle w:val="ITTBullet"/>
      <w:lvlText w:val=""/>
      <w:lvlJc w:val="left"/>
      <w:pPr>
        <w:ind w:left="1854" w:hanging="360"/>
      </w:pPr>
      <w:rPr>
        <w:rFonts w:ascii="Wingdings" w:hAnsi="Wingdings" w:hint="default"/>
      </w:rPr>
    </w:lvl>
    <w:lvl w:ilvl="1" w:tplc="AFE2E73C">
      <w:start w:val="1"/>
      <w:numFmt w:val="bullet"/>
      <w:lvlText w:val="o"/>
      <w:lvlJc w:val="left"/>
      <w:pPr>
        <w:ind w:left="2574" w:hanging="360"/>
      </w:pPr>
      <w:rPr>
        <w:rFonts w:ascii="Courier New" w:hAnsi="Courier New" w:cs="Courier New" w:hint="default"/>
      </w:rPr>
    </w:lvl>
    <w:lvl w:ilvl="2" w:tplc="08090005">
      <w:start w:val="1"/>
      <w:numFmt w:val="bullet"/>
      <w:lvlText w:val=""/>
      <w:lvlJc w:val="left"/>
      <w:pPr>
        <w:ind w:left="3294" w:hanging="360"/>
      </w:pPr>
      <w:rPr>
        <w:rFonts w:ascii="Wingdings" w:hAnsi="Wingdings" w:hint="default"/>
      </w:rPr>
    </w:lvl>
    <w:lvl w:ilvl="3" w:tplc="0809000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6" w15:restartNumberingAfterBreak="0">
    <w:nsid w:val="66127D4D"/>
    <w:multiLevelType w:val="multilevel"/>
    <w:tmpl w:val="9FA408E4"/>
    <w:lvl w:ilvl="0">
      <w:start w:val="1"/>
      <w:numFmt w:val="decimal"/>
      <w:pStyle w:val="ITTHeading1"/>
      <w:lvlText w:val="%1."/>
      <w:lvlJc w:val="left"/>
      <w:pPr>
        <w:ind w:left="1021" w:hanging="1021"/>
      </w:pPr>
      <w:rPr>
        <w:rFonts w:hint="default"/>
      </w:rPr>
    </w:lvl>
    <w:lvl w:ilvl="1">
      <w:start w:val="1"/>
      <w:numFmt w:val="decimal"/>
      <w:pStyle w:val="ITTBody"/>
      <w:lvlText w:val="%1.%2."/>
      <w:lvlJc w:val="left"/>
      <w:pPr>
        <w:ind w:left="1163" w:hanging="1021"/>
      </w:pPr>
      <w:rPr>
        <w:rFonts w:hint="default"/>
      </w:rPr>
    </w:lvl>
    <w:lvl w:ilvl="2">
      <w:start w:val="1"/>
      <w:numFmt w:val="decimal"/>
      <w:pStyle w:val="ITTBodyLevel2"/>
      <w:lvlText w:val="%1.%2.%3."/>
      <w:lvlJc w:val="left"/>
      <w:pPr>
        <w:ind w:left="1305" w:hanging="1021"/>
      </w:pPr>
      <w:rPr>
        <w:rFonts w:hint="default"/>
        <w:vertAlign w:val="baseline"/>
      </w:rPr>
    </w:lvl>
    <w:lvl w:ilvl="3">
      <w:start w:val="1"/>
      <w:numFmt w:val="bullet"/>
      <w:lvlText w:val=""/>
      <w:lvlJc w:val="left"/>
      <w:pPr>
        <w:ind w:left="1021" w:hanging="1021"/>
      </w:pPr>
      <w:rPr>
        <w:rFonts w:ascii="Symbol" w:hAnsi="Symbol" w:hint="default"/>
      </w:rPr>
    </w:lvl>
    <w:lvl w:ilvl="4">
      <w:start w:val="1"/>
      <w:numFmt w:val="decimal"/>
      <w:lvlText w:val="%1.%2.%3.%4.%5."/>
      <w:lvlJc w:val="left"/>
      <w:pPr>
        <w:ind w:left="1021" w:hanging="1021"/>
      </w:pPr>
      <w:rPr>
        <w:rFonts w:hint="default"/>
      </w:rPr>
    </w:lvl>
    <w:lvl w:ilvl="5">
      <w:start w:val="1"/>
      <w:numFmt w:val="decimal"/>
      <w:lvlText w:val="%1.%2.%3.%4.%5.%6."/>
      <w:lvlJc w:val="left"/>
      <w:pPr>
        <w:ind w:left="1021" w:hanging="1021"/>
      </w:pPr>
      <w:rPr>
        <w:rFonts w:hint="default"/>
      </w:rPr>
    </w:lvl>
    <w:lvl w:ilvl="6">
      <w:start w:val="1"/>
      <w:numFmt w:val="decimal"/>
      <w:lvlText w:val="%1.%2.%3.%4.%5.%6.%7."/>
      <w:lvlJc w:val="left"/>
      <w:pPr>
        <w:ind w:left="1021" w:hanging="1021"/>
      </w:pPr>
      <w:rPr>
        <w:rFonts w:hint="default"/>
      </w:rPr>
    </w:lvl>
    <w:lvl w:ilvl="7">
      <w:start w:val="1"/>
      <w:numFmt w:val="decimal"/>
      <w:lvlText w:val="%1.%2.%3.%4.%5.%6.%7.%8."/>
      <w:lvlJc w:val="left"/>
      <w:pPr>
        <w:ind w:left="1021" w:hanging="1021"/>
      </w:pPr>
      <w:rPr>
        <w:rFonts w:hint="default"/>
      </w:rPr>
    </w:lvl>
    <w:lvl w:ilvl="8">
      <w:start w:val="1"/>
      <w:numFmt w:val="decimal"/>
      <w:lvlText w:val="%1.%2.%3.%4.%5.%6.%7.%8.%9."/>
      <w:lvlJc w:val="left"/>
      <w:pPr>
        <w:ind w:left="1021" w:hanging="1021"/>
      </w:pPr>
      <w:rPr>
        <w:rFonts w:hint="default"/>
      </w:rPr>
    </w:lvl>
  </w:abstractNum>
  <w:abstractNum w:abstractNumId="17" w15:restartNumberingAfterBreak="0">
    <w:nsid w:val="79CF4B3B"/>
    <w:multiLevelType w:val="hybridMultilevel"/>
    <w:tmpl w:val="CC78D0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C093FD8"/>
    <w:multiLevelType w:val="hybridMultilevel"/>
    <w:tmpl w:val="E0E8D3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6"/>
  </w:num>
  <w:num w:numId="2">
    <w:abstractNumId w:val="12"/>
  </w:num>
  <w:num w:numId="3">
    <w:abstractNumId w:val="11"/>
  </w:num>
  <w:num w:numId="4">
    <w:abstractNumId w:val="15"/>
  </w:num>
  <w:num w:numId="5">
    <w:abstractNumId w:val="2"/>
  </w:num>
  <w:num w:numId="6">
    <w:abstractNumId w:val="5"/>
  </w:num>
  <w:num w:numId="7">
    <w:abstractNumId w:val="3"/>
  </w:num>
  <w:num w:numId="8">
    <w:abstractNumId w:val="4"/>
  </w:num>
  <w:num w:numId="9">
    <w:abstractNumId w:val="10"/>
  </w:num>
  <w:num w:numId="10">
    <w:abstractNumId w:val="7"/>
  </w:num>
  <w:num w:numId="11">
    <w:abstractNumId w:val="18"/>
  </w:num>
  <w:num w:numId="12">
    <w:abstractNumId w:val="9"/>
  </w:num>
  <w:num w:numId="13">
    <w:abstractNumId w:val="17"/>
  </w:num>
  <w:num w:numId="14">
    <w:abstractNumId w:val="14"/>
  </w:num>
  <w:num w:numId="15">
    <w:abstractNumId w:val="6"/>
  </w:num>
  <w:num w:numId="16">
    <w:abstractNumId w:val="0"/>
  </w:num>
  <w:num w:numId="17">
    <w:abstractNumId w:val="13"/>
  </w:num>
  <w:num w:numId="18">
    <w:abstractNumId w:val="8"/>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10"/>
  <w:displayHorizontalDrawingGridEvery w:val="2"/>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4059"/>
    <w:rsid w:val="0000070F"/>
    <w:rsid w:val="00000A64"/>
    <w:rsid w:val="0000161E"/>
    <w:rsid w:val="00001B2B"/>
    <w:rsid w:val="00001DD8"/>
    <w:rsid w:val="00005F3F"/>
    <w:rsid w:val="000068C2"/>
    <w:rsid w:val="000077D8"/>
    <w:rsid w:val="000111E8"/>
    <w:rsid w:val="00012046"/>
    <w:rsid w:val="00012149"/>
    <w:rsid w:val="00013DB5"/>
    <w:rsid w:val="00013EC4"/>
    <w:rsid w:val="00014242"/>
    <w:rsid w:val="000161E6"/>
    <w:rsid w:val="00017D81"/>
    <w:rsid w:val="000203E8"/>
    <w:rsid w:val="00020550"/>
    <w:rsid w:val="00020578"/>
    <w:rsid w:val="00021806"/>
    <w:rsid w:val="00021C81"/>
    <w:rsid w:val="00022FBB"/>
    <w:rsid w:val="00023BE7"/>
    <w:rsid w:val="00024149"/>
    <w:rsid w:val="00024349"/>
    <w:rsid w:val="000261AC"/>
    <w:rsid w:val="00026BF2"/>
    <w:rsid w:val="00027AA5"/>
    <w:rsid w:val="000302D3"/>
    <w:rsid w:val="0003068E"/>
    <w:rsid w:val="00030930"/>
    <w:rsid w:val="00031654"/>
    <w:rsid w:val="00031A87"/>
    <w:rsid w:val="000323CF"/>
    <w:rsid w:val="000329A8"/>
    <w:rsid w:val="00032F39"/>
    <w:rsid w:val="00033A96"/>
    <w:rsid w:val="00034764"/>
    <w:rsid w:val="00037F13"/>
    <w:rsid w:val="0004001B"/>
    <w:rsid w:val="000407E4"/>
    <w:rsid w:val="000408F5"/>
    <w:rsid w:val="00041FAC"/>
    <w:rsid w:val="0004252B"/>
    <w:rsid w:val="00042C02"/>
    <w:rsid w:val="00044371"/>
    <w:rsid w:val="00044AD1"/>
    <w:rsid w:val="00045026"/>
    <w:rsid w:val="00045187"/>
    <w:rsid w:val="0004708D"/>
    <w:rsid w:val="000473F9"/>
    <w:rsid w:val="0004760E"/>
    <w:rsid w:val="000477CE"/>
    <w:rsid w:val="00047AAF"/>
    <w:rsid w:val="00047C0A"/>
    <w:rsid w:val="000506E7"/>
    <w:rsid w:val="00050847"/>
    <w:rsid w:val="00051111"/>
    <w:rsid w:val="000519D4"/>
    <w:rsid w:val="00051FC4"/>
    <w:rsid w:val="000560E8"/>
    <w:rsid w:val="00057357"/>
    <w:rsid w:val="000602F3"/>
    <w:rsid w:val="00060732"/>
    <w:rsid w:val="0006365E"/>
    <w:rsid w:val="00064203"/>
    <w:rsid w:val="00066A1E"/>
    <w:rsid w:val="00067230"/>
    <w:rsid w:val="00067807"/>
    <w:rsid w:val="00070955"/>
    <w:rsid w:val="00070E40"/>
    <w:rsid w:val="00071634"/>
    <w:rsid w:val="00072417"/>
    <w:rsid w:val="00072612"/>
    <w:rsid w:val="00072693"/>
    <w:rsid w:val="000726BB"/>
    <w:rsid w:val="00073589"/>
    <w:rsid w:val="00075127"/>
    <w:rsid w:val="00075CA5"/>
    <w:rsid w:val="000769C4"/>
    <w:rsid w:val="00081590"/>
    <w:rsid w:val="000828E0"/>
    <w:rsid w:val="0008378D"/>
    <w:rsid w:val="00084731"/>
    <w:rsid w:val="0008515D"/>
    <w:rsid w:val="00085C20"/>
    <w:rsid w:val="000866E5"/>
    <w:rsid w:val="00086B52"/>
    <w:rsid w:val="000871F7"/>
    <w:rsid w:val="00087318"/>
    <w:rsid w:val="000906F2"/>
    <w:rsid w:val="00090E7B"/>
    <w:rsid w:val="00091BF4"/>
    <w:rsid w:val="00092338"/>
    <w:rsid w:val="00092F2B"/>
    <w:rsid w:val="00093975"/>
    <w:rsid w:val="00093B46"/>
    <w:rsid w:val="00093C14"/>
    <w:rsid w:val="000952CB"/>
    <w:rsid w:val="000955D3"/>
    <w:rsid w:val="00096A8F"/>
    <w:rsid w:val="00096E0A"/>
    <w:rsid w:val="000975F1"/>
    <w:rsid w:val="00097B9E"/>
    <w:rsid w:val="000A05A7"/>
    <w:rsid w:val="000A11B3"/>
    <w:rsid w:val="000A12C6"/>
    <w:rsid w:val="000A135E"/>
    <w:rsid w:val="000A14C2"/>
    <w:rsid w:val="000A3110"/>
    <w:rsid w:val="000A3911"/>
    <w:rsid w:val="000A502B"/>
    <w:rsid w:val="000A6507"/>
    <w:rsid w:val="000B01E8"/>
    <w:rsid w:val="000B06DD"/>
    <w:rsid w:val="000B20BE"/>
    <w:rsid w:val="000B2C58"/>
    <w:rsid w:val="000B2D81"/>
    <w:rsid w:val="000B408B"/>
    <w:rsid w:val="000B420E"/>
    <w:rsid w:val="000B67B8"/>
    <w:rsid w:val="000B6FB5"/>
    <w:rsid w:val="000B7301"/>
    <w:rsid w:val="000C08A0"/>
    <w:rsid w:val="000C1013"/>
    <w:rsid w:val="000C16F9"/>
    <w:rsid w:val="000C2F94"/>
    <w:rsid w:val="000C3044"/>
    <w:rsid w:val="000C3325"/>
    <w:rsid w:val="000C3571"/>
    <w:rsid w:val="000C49BB"/>
    <w:rsid w:val="000C66C9"/>
    <w:rsid w:val="000C7011"/>
    <w:rsid w:val="000C703E"/>
    <w:rsid w:val="000D09D1"/>
    <w:rsid w:val="000D1D85"/>
    <w:rsid w:val="000D36C9"/>
    <w:rsid w:val="000D380F"/>
    <w:rsid w:val="000D4D44"/>
    <w:rsid w:val="000D5385"/>
    <w:rsid w:val="000D7558"/>
    <w:rsid w:val="000E071A"/>
    <w:rsid w:val="000E3194"/>
    <w:rsid w:val="000E45E8"/>
    <w:rsid w:val="000E4A72"/>
    <w:rsid w:val="000E551B"/>
    <w:rsid w:val="000E55E7"/>
    <w:rsid w:val="000E5F05"/>
    <w:rsid w:val="000E5F0F"/>
    <w:rsid w:val="000E6E63"/>
    <w:rsid w:val="000E7516"/>
    <w:rsid w:val="000E7708"/>
    <w:rsid w:val="000E7DB5"/>
    <w:rsid w:val="000E7E00"/>
    <w:rsid w:val="000E7E6A"/>
    <w:rsid w:val="000E7E7A"/>
    <w:rsid w:val="000F1D26"/>
    <w:rsid w:val="000F2D8E"/>
    <w:rsid w:val="000F5867"/>
    <w:rsid w:val="000F72BF"/>
    <w:rsid w:val="001001EB"/>
    <w:rsid w:val="00101637"/>
    <w:rsid w:val="00101C3B"/>
    <w:rsid w:val="00101EE0"/>
    <w:rsid w:val="001029AC"/>
    <w:rsid w:val="0010308D"/>
    <w:rsid w:val="00103B23"/>
    <w:rsid w:val="00104FFF"/>
    <w:rsid w:val="00105924"/>
    <w:rsid w:val="00105CD0"/>
    <w:rsid w:val="00106BE3"/>
    <w:rsid w:val="0010736F"/>
    <w:rsid w:val="00107CDD"/>
    <w:rsid w:val="00110923"/>
    <w:rsid w:val="00111312"/>
    <w:rsid w:val="001115DB"/>
    <w:rsid w:val="00112288"/>
    <w:rsid w:val="00113F6B"/>
    <w:rsid w:val="00114244"/>
    <w:rsid w:val="00114FA7"/>
    <w:rsid w:val="001151C1"/>
    <w:rsid w:val="00115502"/>
    <w:rsid w:val="00115EF5"/>
    <w:rsid w:val="00115FF4"/>
    <w:rsid w:val="00117B92"/>
    <w:rsid w:val="001203BB"/>
    <w:rsid w:val="00120939"/>
    <w:rsid w:val="001223D2"/>
    <w:rsid w:val="0012254D"/>
    <w:rsid w:val="00122E45"/>
    <w:rsid w:val="00123902"/>
    <w:rsid w:val="001243A9"/>
    <w:rsid w:val="00126701"/>
    <w:rsid w:val="00126C1E"/>
    <w:rsid w:val="00127E4A"/>
    <w:rsid w:val="001301C7"/>
    <w:rsid w:val="001311BC"/>
    <w:rsid w:val="00131D22"/>
    <w:rsid w:val="0013261D"/>
    <w:rsid w:val="0013267E"/>
    <w:rsid w:val="00132F23"/>
    <w:rsid w:val="001338BE"/>
    <w:rsid w:val="00133DEC"/>
    <w:rsid w:val="00133EAD"/>
    <w:rsid w:val="001360DB"/>
    <w:rsid w:val="001407FD"/>
    <w:rsid w:val="00140F3E"/>
    <w:rsid w:val="0014113A"/>
    <w:rsid w:val="001422C0"/>
    <w:rsid w:val="001423DA"/>
    <w:rsid w:val="001423F3"/>
    <w:rsid w:val="00144280"/>
    <w:rsid w:val="001449E0"/>
    <w:rsid w:val="00144B36"/>
    <w:rsid w:val="0014640A"/>
    <w:rsid w:val="00146629"/>
    <w:rsid w:val="0015176B"/>
    <w:rsid w:val="00152FB2"/>
    <w:rsid w:val="001540DB"/>
    <w:rsid w:val="00155283"/>
    <w:rsid w:val="00155536"/>
    <w:rsid w:val="001555AF"/>
    <w:rsid w:val="00157E2C"/>
    <w:rsid w:val="00160379"/>
    <w:rsid w:val="001604B6"/>
    <w:rsid w:val="0016060B"/>
    <w:rsid w:val="00160826"/>
    <w:rsid w:val="001625F9"/>
    <w:rsid w:val="001627EC"/>
    <w:rsid w:val="00163465"/>
    <w:rsid w:val="00163F93"/>
    <w:rsid w:val="00163FC8"/>
    <w:rsid w:val="00164B53"/>
    <w:rsid w:val="00165EA5"/>
    <w:rsid w:val="00165F74"/>
    <w:rsid w:val="00167947"/>
    <w:rsid w:val="00167B11"/>
    <w:rsid w:val="001701DF"/>
    <w:rsid w:val="00170991"/>
    <w:rsid w:val="001716C6"/>
    <w:rsid w:val="00172491"/>
    <w:rsid w:val="00172C56"/>
    <w:rsid w:val="00173207"/>
    <w:rsid w:val="0017551D"/>
    <w:rsid w:val="00175A74"/>
    <w:rsid w:val="00176F15"/>
    <w:rsid w:val="001806DE"/>
    <w:rsid w:val="001824EE"/>
    <w:rsid w:val="00184C42"/>
    <w:rsid w:val="0018648C"/>
    <w:rsid w:val="001869CA"/>
    <w:rsid w:val="001908F4"/>
    <w:rsid w:val="0019123E"/>
    <w:rsid w:val="001944F7"/>
    <w:rsid w:val="001953C3"/>
    <w:rsid w:val="001959F2"/>
    <w:rsid w:val="001A160F"/>
    <w:rsid w:val="001A1A96"/>
    <w:rsid w:val="001A1BF0"/>
    <w:rsid w:val="001A1E02"/>
    <w:rsid w:val="001A2528"/>
    <w:rsid w:val="001A2839"/>
    <w:rsid w:val="001A327F"/>
    <w:rsid w:val="001A32BC"/>
    <w:rsid w:val="001A4020"/>
    <w:rsid w:val="001A4059"/>
    <w:rsid w:val="001A4350"/>
    <w:rsid w:val="001A5167"/>
    <w:rsid w:val="001A597F"/>
    <w:rsid w:val="001A6C13"/>
    <w:rsid w:val="001B1568"/>
    <w:rsid w:val="001B1BE2"/>
    <w:rsid w:val="001B284D"/>
    <w:rsid w:val="001B33F0"/>
    <w:rsid w:val="001B3BFB"/>
    <w:rsid w:val="001B6595"/>
    <w:rsid w:val="001B6834"/>
    <w:rsid w:val="001B7B20"/>
    <w:rsid w:val="001C2EE7"/>
    <w:rsid w:val="001C33C5"/>
    <w:rsid w:val="001C3746"/>
    <w:rsid w:val="001C4024"/>
    <w:rsid w:val="001C4143"/>
    <w:rsid w:val="001C4E66"/>
    <w:rsid w:val="001C7E89"/>
    <w:rsid w:val="001D05AB"/>
    <w:rsid w:val="001D0DD2"/>
    <w:rsid w:val="001D3EFB"/>
    <w:rsid w:val="001D50CE"/>
    <w:rsid w:val="001D7339"/>
    <w:rsid w:val="001D7E1A"/>
    <w:rsid w:val="001E0450"/>
    <w:rsid w:val="001E2D83"/>
    <w:rsid w:val="001E3BD8"/>
    <w:rsid w:val="001E50B7"/>
    <w:rsid w:val="001E6C0A"/>
    <w:rsid w:val="001E6C80"/>
    <w:rsid w:val="001E7C3A"/>
    <w:rsid w:val="001F0584"/>
    <w:rsid w:val="001F05AE"/>
    <w:rsid w:val="001F0E00"/>
    <w:rsid w:val="001F1E96"/>
    <w:rsid w:val="001F2A48"/>
    <w:rsid w:val="001F38E5"/>
    <w:rsid w:val="001F3CB9"/>
    <w:rsid w:val="001F4527"/>
    <w:rsid w:val="001F45BD"/>
    <w:rsid w:val="00201256"/>
    <w:rsid w:val="00202C7A"/>
    <w:rsid w:val="00202E0E"/>
    <w:rsid w:val="002056DC"/>
    <w:rsid w:val="002057C2"/>
    <w:rsid w:val="00207446"/>
    <w:rsid w:val="00207B7E"/>
    <w:rsid w:val="00212053"/>
    <w:rsid w:val="002136AE"/>
    <w:rsid w:val="00215228"/>
    <w:rsid w:val="00215D21"/>
    <w:rsid w:val="002163DD"/>
    <w:rsid w:val="0021675B"/>
    <w:rsid w:val="00216CF7"/>
    <w:rsid w:val="002201A9"/>
    <w:rsid w:val="00221442"/>
    <w:rsid w:val="00221A8D"/>
    <w:rsid w:val="00222501"/>
    <w:rsid w:val="002236E3"/>
    <w:rsid w:val="00223BC1"/>
    <w:rsid w:val="00223CFA"/>
    <w:rsid w:val="00224230"/>
    <w:rsid w:val="0022460B"/>
    <w:rsid w:val="00224AD0"/>
    <w:rsid w:val="002255F0"/>
    <w:rsid w:val="00225E45"/>
    <w:rsid w:val="00226D07"/>
    <w:rsid w:val="0022727B"/>
    <w:rsid w:val="00227ACF"/>
    <w:rsid w:val="00231F1F"/>
    <w:rsid w:val="002329AD"/>
    <w:rsid w:val="002333BE"/>
    <w:rsid w:val="00234A7D"/>
    <w:rsid w:val="00234B21"/>
    <w:rsid w:val="00235D75"/>
    <w:rsid w:val="00237320"/>
    <w:rsid w:val="00237813"/>
    <w:rsid w:val="00241744"/>
    <w:rsid w:val="00241931"/>
    <w:rsid w:val="002451E0"/>
    <w:rsid w:val="002465AF"/>
    <w:rsid w:val="002476D4"/>
    <w:rsid w:val="002476D9"/>
    <w:rsid w:val="00247AB8"/>
    <w:rsid w:val="00247C96"/>
    <w:rsid w:val="0025004C"/>
    <w:rsid w:val="00251525"/>
    <w:rsid w:val="002526D8"/>
    <w:rsid w:val="00252DA7"/>
    <w:rsid w:val="002533F4"/>
    <w:rsid w:val="00255382"/>
    <w:rsid w:val="00256C78"/>
    <w:rsid w:val="002573F7"/>
    <w:rsid w:val="00260F1E"/>
    <w:rsid w:val="0026261D"/>
    <w:rsid w:val="00262B3C"/>
    <w:rsid w:val="00263F8E"/>
    <w:rsid w:val="0026441D"/>
    <w:rsid w:val="0026722C"/>
    <w:rsid w:val="00271F3C"/>
    <w:rsid w:val="00272AAE"/>
    <w:rsid w:val="00273576"/>
    <w:rsid w:val="00273AA7"/>
    <w:rsid w:val="0027564C"/>
    <w:rsid w:val="0027637B"/>
    <w:rsid w:val="002765DE"/>
    <w:rsid w:val="00277A98"/>
    <w:rsid w:val="00280B37"/>
    <w:rsid w:val="002816FE"/>
    <w:rsid w:val="0028193C"/>
    <w:rsid w:val="00283741"/>
    <w:rsid w:val="0028417C"/>
    <w:rsid w:val="00287CA0"/>
    <w:rsid w:val="00287FBB"/>
    <w:rsid w:val="00291EA0"/>
    <w:rsid w:val="00292835"/>
    <w:rsid w:val="00292CFC"/>
    <w:rsid w:val="00293C97"/>
    <w:rsid w:val="00293FE6"/>
    <w:rsid w:val="00294036"/>
    <w:rsid w:val="00294EB2"/>
    <w:rsid w:val="00294FA8"/>
    <w:rsid w:val="002952F4"/>
    <w:rsid w:val="0029623A"/>
    <w:rsid w:val="00296CAC"/>
    <w:rsid w:val="002A0414"/>
    <w:rsid w:val="002A212F"/>
    <w:rsid w:val="002A2372"/>
    <w:rsid w:val="002A309D"/>
    <w:rsid w:val="002A347C"/>
    <w:rsid w:val="002A3543"/>
    <w:rsid w:val="002A35C4"/>
    <w:rsid w:val="002A3BBC"/>
    <w:rsid w:val="002A6A30"/>
    <w:rsid w:val="002B19E7"/>
    <w:rsid w:val="002B1BDC"/>
    <w:rsid w:val="002B1F21"/>
    <w:rsid w:val="002B291A"/>
    <w:rsid w:val="002B296B"/>
    <w:rsid w:val="002B442C"/>
    <w:rsid w:val="002B5702"/>
    <w:rsid w:val="002B5E4F"/>
    <w:rsid w:val="002B6825"/>
    <w:rsid w:val="002C1093"/>
    <w:rsid w:val="002C1EB4"/>
    <w:rsid w:val="002C2379"/>
    <w:rsid w:val="002C282A"/>
    <w:rsid w:val="002C39FD"/>
    <w:rsid w:val="002C41BD"/>
    <w:rsid w:val="002C41F0"/>
    <w:rsid w:val="002C4C9E"/>
    <w:rsid w:val="002C5E95"/>
    <w:rsid w:val="002C765C"/>
    <w:rsid w:val="002C79B9"/>
    <w:rsid w:val="002C7EB0"/>
    <w:rsid w:val="002D093D"/>
    <w:rsid w:val="002D1DB0"/>
    <w:rsid w:val="002D1FC4"/>
    <w:rsid w:val="002D2723"/>
    <w:rsid w:val="002D2C66"/>
    <w:rsid w:val="002D3981"/>
    <w:rsid w:val="002D3EA1"/>
    <w:rsid w:val="002D424A"/>
    <w:rsid w:val="002D6EEA"/>
    <w:rsid w:val="002E0EAC"/>
    <w:rsid w:val="002E1000"/>
    <w:rsid w:val="002E19AE"/>
    <w:rsid w:val="002E19ED"/>
    <w:rsid w:val="002E3A8B"/>
    <w:rsid w:val="002E560C"/>
    <w:rsid w:val="002E6133"/>
    <w:rsid w:val="002E6C1C"/>
    <w:rsid w:val="002F2DB0"/>
    <w:rsid w:val="002F5DD5"/>
    <w:rsid w:val="002F67F2"/>
    <w:rsid w:val="00300976"/>
    <w:rsid w:val="00300A94"/>
    <w:rsid w:val="00303A39"/>
    <w:rsid w:val="00304D34"/>
    <w:rsid w:val="003065C7"/>
    <w:rsid w:val="00307239"/>
    <w:rsid w:val="003104C6"/>
    <w:rsid w:val="0031178A"/>
    <w:rsid w:val="00311A6D"/>
    <w:rsid w:val="0031286A"/>
    <w:rsid w:val="00313101"/>
    <w:rsid w:val="003139C8"/>
    <w:rsid w:val="00314403"/>
    <w:rsid w:val="00314924"/>
    <w:rsid w:val="003149E4"/>
    <w:rsid w:val="003153CC"/>
    <w:rsid w:val="00315B12"/>
    <w:rsid w:val="0031649F"/>
    <w:rsid w:val="0031750D"/>
    <w:rsid w:val="0032018C"/>
    <w:rsid w:val="00320A8F"/>
    <w:rsid w:val="00321683"/>
    <w:rsid w:val="0032304D"/>
    <w:rsid w:val="00323892"/>
    <w:rsid w:val="0032479E"/>
    <w:rsid w:val="00324B7C"/>
    <w:rsid w:val="00326B3A"/>
    <w:rsid w:val="00327A36"/>
    <w:rsid w:val="00330436"/>
    <w:rsid w:val="00331839"/>
    <w:rsid w:val="00332090"/>
    <w:rsid w:val="003329FC"/>
    <w:rsid w:val="00333218"/>
    <w:rsid w:val="00333222"/>
    <w:rsid w:val="003336CE"/>
    <w:rsid w:val="00333776"/>
    <w:rsid w:val="003342ED"/>
    <w:rsid w:val="0033569E"/>
    <w:rsid w:val="00337BA0"/>
    <w:rsid w:val="00337DFF"/>
    <w:rsid w:val="003400FC"/>
    <w:rsid w:val="00340E7D"/>
    <w:rsid w:val="00341292"/>
    <w:rsid w:val="00346AB7"/>
    <w:rsid w:val="00347471"/>
    <w:rsid w:val="003478E4"/>
    <w:rsid w:val="003504FD"/>
    <w:rsid w:val="00353200"/>
    <w:rsid w:val="00353B15"/>
    <w:rsid w:val="0035493B"/>
    <w:rsid w:val="00354A66"/>
    <w:rsid w:val="003556CB"/>
    <w:rsid w:val="003573D7"/>
    <w:rsid w:val="00357CA5"/>
    <w:rsid w:val="00357E06"/>
    <w:rsid w:val="00361751"/>
    <w:rsid w:val="00362127"/>
    <w:rsid w:val="00362A05"/>
    <w:rsid w:val="0036319C"/>
    <w:rsid w:val="00364566"/>
    <w:rsid w:val="003654C5"/>
    <w:rsid w:val="00365985"/>
    <w:rsid w:val="003659FE"/>
    <w:rsid w:val="00366B9F"/>
    <w:rsid w:val="00366D99"/>
    <w:rsid w:val="00366FAA"/>
    <w:rsid w:val="003710E7"/>
    <w:rsid w:val="003719B2"/>
    <w:rsid w:val="00371CE4"/>
    <w:rsid w:val="00371DD4"/>
    <w:rsid w:val="0037435D"/>
    <w:rsid w:val="00375A09"/>
    <w:rsid w:val="00375FF8"/>
    <w:rsid w:val="0037601E"/>
    <w:rsid w:val="0038090F"/>
    <w:rsid w:val="00380970"/>
    <w:rsid w:val="00380ABE"/>
    <w:rsid w:val="00381630"/>
    <w:rsid w:val="00383D13"/>
    <w:rsid w:val="00383F6B"/>
    <w:rsid w:val="00384DED"/>
    <w:rsid w:val="00386342"/>
    <w:rsid w:val="00386BEE"/>
    <w:rsid w:val="00387B03"/>
    <w:rsid w:val="0039008A"/>
    <w:rsid w:val="003918F6"/>
    <w:rsid w:val="00391B43"/>
    <w:rsid w:val="00392246"/>
    <w:rsid w:val="003935A3"/>
    <w:rsid w:val="00395A6F"/>
    <w:rsid w:val="00396C06"/>
    <w:rsid w:val="00397784"/>
    <w:rsid w:val="003A040F"/>
    <w:rsid w:val="003A05BA"/>
    <w:rsid w:val="003A2126"/>
    <w:rsid w:val="003A23C2"/>
    <w:rsid w:val="003A27DD"/>
    <w:rsid w:val="003A349E"/>
    <w:rsid w:val="003A3D75"/>
    <w:rsid w:val="003A41DC"/>
    <w:rsid w:val="003A4F1E"/>
    <w:rsid w:val="003B025E"/>
    <w:rsid w:val="003B1A79"/>
    <w:rsid w:val="003B48C3"/>
    <w:rsid w:val="003B4C37"/>
    <w:rsid w:val="003B5253"/>
    <w:rsid w:val="003B537F"/>
    <w:rsid w:val="003B7388"/>
    <w:rsid w:val="003B753A"/>
    <w:rsid w:val="003B7FC2"/>
    <w:rsid w:val="003C0461"/>
    <w:rsid w:val="003C0723"/>
    <w:rsid w:val="003C25CB"/>
    <w:rsid w:val="003C2D76"/>
    <w:rsid w:val="003C3527"/>
    <w:rsid w:val="003C4678"/>
    <w:rsid w:val="003C4746"/>
    <w:rsid w:val="003C47F4"/>
    <w:rsid w:val="003C5895"/>
    <w:rsid w:val="003C5F73"/>
    <w:rsid w:val="003C6116"/>
    <w:rsid w:val="003C6D52"/>
    <w:rsid w:val="003C6E6D"/>
    <w:rsid w:val="003C6E9F"/>
    <w:rsid w:val="003C6EFB"/>
    <w:rsid w:val="003D09E3"/>
    <w:rsid w:val="003D1363"/>
    <w:rsid w:val="003D18C0"/>
    <w:rsid w:val="003D21B5"/>
    <w:rsid w:val="003D226A"/>
    <w:rsid w:val="003D5303"/>
    <w:rsid w:val="003D554F"/>
    <w:rsid w:val="003D5A3B"/>
    <w:rsid w:val="003D7D48"/>
    <w:rsid w:val="003E11A1"/>
    <w:rsid w:val="003E1796"/>
    <w:rsid w:val="003E2A85"/>
    <w:rsid w:val="003E3CB5"/>
    <w:rsid w:val="003E5141"/>
    <w:rsid w:val="003E6649"/>
    <w:rsid w:val="003E7BE4"/>
    <w:rsid w:val="003E7E4A"/>
    <w:rsid w:val="003F06BF"/>
    <w:rsid w:val="003F0A3C"/>
    <w:rsid w:val="003F0C7A"/>
    <w:rsid w:val="003F0F14"/>
    <w:rsid w:val="003F1013"/>
    <w:rsid w:val="003F21AD"/>
    <w:rsid w:val="003F238E"/>
    <w:rsid w:val="003F440D"/>
    <w:rsid w:val="003F6035"/>
    <w:rsid w:val="003F60ED"/>
    <w:rsid w:val="0040076F"/>
    <w:rsid w:val="00400B89"/>
    <w:rsid w:val="00401F8C"/>
    <w:rsid w:val="00403609"/>
    <w:rsid w:val="00403F29"/>
    <w:rsid w:val="00404346"/>
    <w:rsid w:val="00407BE6"/>
    <w:rsid w:val="00412200"/>
    <w:rsid w:val="00414160"/>
    <w:rsid w:val="00414826"/>
    <w:rsid w:val="00415B23"/>
    <w:rsid w:val="00416C44"/>
    <w:rsid w:val="00417B08"/>
    <w:rsid w:val="00420386"/>
    <w:rsid w:val="004251DD"/>
    <w:rsid w:val="00425F0A"/>
    <w:rsid w:val="00425F1B"/>
    <w:rsid w:val="00426CD2"/>
    <w:rsid w:val="00432548"/>
    <w:rsid w:val="00432805"/>
    <w:rsid w:val="0043356D"/>
    <w:rsid w:val="004343D5"/>
    <w:rsid w:val="00434D75"/>
    <w:rsid w:val="00436740"/>
    <w:rsid w:val="004402DF"/>
    <w:rsid w:val="0044087E"/>
    <w:rsid w:val="00441661"/>
    <w:rsid w:val="004416DC"/>
    <w:rsid w:val="00441C07"/>
    <w:rsid w:val="004430D7"/>
    <w:rsid w:val="004453C0"/>
    <w:rsid w:val="00445877"/>
    <w:rsid w:val="00446FE8"/>
    <w:rsid w:val="0045008B"/>
    <w:rsid w:val="004501DF"/>
    <w:rsid w:val="004504F8"/>
    <w:rsid w:val="004507B5"/>
    <w:rsid w:val="0045157B"/>
    <w:rsid w:val="00451F49"/>
    <w:rsid w:val="004523E7"/>
    <w:rsid w:val="004526D1"/>
    <w:rsid w:val="00452742"/>
    <w:rsid w:val="00452BC7"/>
    <w:rsid w:val="00452CDF"/>
    <w:rsid w:val="0045590D"/>
    <w:rsid w:val="00455E3A"/>
    <w:rsid w:val="00456813"/>
    <w:rsid w:val="004574F1"/>
    <w:rsid w:val="00457551"/>
    <w:rsid w:val="004601A9"/>
    <w:rsid w:val="0046022F"/>
    <w:rsid w:val="004602CF"/>
    <w:rsid w:val="004604B1"/>
    <w:rsid w:val="0046077E"/>
    <w:rsid w:val="004621FA"/>
    <w:rsid w:val="004639C5"/>
    <w:rsid w:val="004675D9"/>
    <w:rsid w:val="00467866"/>
    <w:rsid w:val="00470E0A"/>
    <w:rsid w:val="0047254A"/>
    <w:rsid w:val="00472631"/>
    <w:rsid w:val="0047268B"/>
    <w:rsid w:val="00472AF9"/>
    <w:rsid w:val="0047379C"/>
    <w:rsid w:val="004742A3"/>
    <w:rsid w:val="004762CB"/>
    <w:rsid w:val="00476FE7"/>
    <w:rsid w:val="0047753F"/>
    <w:rsid w:val="0047756A"/>
    <w:rsid w:val="00477DD2"/>
    <w:rsid w:val="004806B8"/>
    <w:rsid w:val="004813E7"/>
    <w:rsid w:val="0048174A"/>
    <w:rsid w:val="004818AD"/>
    <w:rsid w:val="00481A1C"/>
    <w:rsid w:val="00483EC3"/>
    <w:rsid w:val="0048413B"/>
    <w:rsid w:val="004845C6"/>
    <w:rsid w:val="004846B0"/>
    <w:rsid w:val="00484A1F"/>
    <w:rsid w:val="00484EAC"/>
    <w:rsid w:val="00485DA4"/>
    <w:rsid w:val="00486AC4"/>
    <w:rsid w:val="00486DE3"/>
    <w:rsid w:val="0048725D"/>
    <w:rsid w:val="004900C8"/>
    <w:rsid w:val="004904BC"/>
    <w:rsid w:val="00491355"/>
    <w:rsid w:val="00493753"/>
    <w:rsid w:val="0049431B"/>
    <w:rsid w:val="00496F08"/>
    <w:rsid w:val="004971F0"/>
    <w:rsid w:val="004A0558"/>
    <w:rsid w:val="004A3D28"/>
    <w:rsid w:val="004A445C"/>
    <w:rsid w:val="004A56AF"/>
    <w:rsid w:val="004A6662"/>
    <w:rsid w:val="004A791A"/>
    <w:rsid w:val="004A7B16"/>
    <w:rsid w:val="004B0130"/>
    <w:rsid w:val="004B0470"/>
    <w:rsid w:val="004B175A"/>
    <w:rsid w:val="004B4920"/>
    <w:rsid w:val="004B5B11"/>
    <w:rsid w:val="004B7D04"/>
    <w:rsid w:val="004C05AB"/>
    <w:rsid w:val="004C0AB5"/>
    <w:rsid w:val="004C2FCB"/>
    <w:rsid w:val="004C48D7"/>
    <w:rsid w:val="004C523E"/>
    <w:rsid w:val="004C555D"/>
    <w:rsid w:val="004C5719"/>
    <w:rsid w:val="004C5B25"/>
    <w:rsid w:val="004C6B07"/>
    <w:rsid w:val="004C775E"/>
    <w:rsid w:val="004D05B6"/>
    <w:rsid w:val="004D0BA2"/>
    <w:rsid w:val="004D1065"/>
    <w:rsid w:val="004D30D2"/>
    <w:rsid w:val="004D3DDB"/>
    <w:rsid w:val="004D4385"/>
    <w:rsid w:val="004D75B9"/>
    <w:rsid w:val="004E0250"/>
    <w:rsid w:val="004E0287"/>
    <w:rsid w:val="004E09DC"/>
    <w:rsid w:val="004E0D96"/>
    <w:rsid w:val="004E1CDF"/>
    <w:rsid w:val="004E1F43"/>
    <w:rsid w:val="004E2099"/>
    <w:rsid w:val="004E2350"/>
    <w:rsid w:val="004E300E"/>
    <w:rsid w:val="004E457F"/>
    <w:rsid w:val="004E66A4"/>
    <w:rsid w:val="004E74F1"/>
    <w:rsid w:val="004F22BE"/>
    <w:rsid w:val="004F32F2"/>
    <w:rsid w:val="004F45B1"/>
    <w:rsid w:val="004F6666"/>
    <w:rsid w:val="004F6FED"/>
    <w:rsid w:val="004F72A4"/>
    <w:rsid w:val="005004F2"/>
    <w:rsid w:val="0050179A"/>
    <w:rsid w:val="00502C53"/>
    <w:rsid w:val="005031A1"/>
    <w:rsid w:val="00503362"/>
    <w:rsid w:val="00503635"/>
    <w:rsid w:val="00503E24"/>
    <w:rsid w:val="00504D8E"/>
    <w:rsid w:val="00507548"/>
    <w:rsid w:val="00507A43"/>
    <w:rsid w:val="005117F5"/>
    <w:rsid w:val="00512D15"/>
    <w:rsid w:val="005137BD"/>
    <w:rsid w:val="00513D8C"/>
    <w:rsid w:val="005165D8"/>
    <w:rsid w:val="005167A8"/>
    <w:rsid w:val="005176D2"/>
    <w:rsid w:val="00517AA2"/>
    <w:rsid w:val="005207AB"/>
    <w:rsid w:val="00520FBD"/>
    <w:rsid w:val="00521B45"/>
    <w:rsid w:val="005224C3"/>
    <w:rsid w:val="0052324A"/>
    <w:rsid w:val="00523FB6"/>
    <w:rsid w:val="0052416D"/>
    <w:rsid w:val="00525317"/>
    <w:rsid w:val="00525961"/>
    <w:rsid w:val="00525CE2"/>
    <w:rsid w:val="0053106C"/>
    <w:rsid w:val="00531B7F"/>
    <w:rsid w:val="00532097"/>
    <w:rsid w:val="00532379"/>
    <w:rsid w:val="00532EA9"/>
    <w:rsid w:val="00533E63"/>
    <w:rsid w:val="00533EE5"/>
    <w:rsid w:val="005344C0"/>
    <w:rsid w:val="005355AA"/>
    <w:rsid w:val="005360DF"/>
    <w:rsid w:val="00537106"/>
    <w:rsid w:val="00537801"/>
    <w:rsid w:val="00537831"/>
    <w:rsid w:val="00537DB4"/>
    <w:rsid w:val="00540308"/>
    <w:rsid w:val="005417C8"/>
    <w:rsid w:val="00543650"/>
    <w:rsid w:val="00543FF1"/>
    <w:rsid w:val="005449FF"/>
    <w:rsid w:val="00544C19"/>
    <w:rsid w:val="005469A8"/>
    <w:rsid w:val="00546A48"/>
    <w:rsid w:val="0054754B"/>
    <w:rsid w:val="00547BB2"/>
    <w:rsid w:val="005504A6"/>
    <w:rsid w:val="00551AA9"/>
    <w:rsid w:val="00552291"/>
    <w:rsid w:val="00552547"/>
    <w:rsid w:val="005528A1"/>
    <w:rsid w:val="0055303B"/>
    <w:rsid w:val="00553307"/>
    <w:rsid w:val="0055336D"/>
    <w:rsid w:val="0055471E"/>
    <w:rsid w:val="00556675"/>
    <w:rsid w:val="005568FC"/>
    <w:rsid w:val="0055701B"/>
    <w:rsid w:val="005615E4"/>
    <w:rsid w:val="00561B18"/>
    <w:rsid w:val="00561BAD"/>
    <w:rsid w:val="00561C77"/>
    <w:rsid w:val="00564110"/>
    <w:rsid w:val="0056442A"/>
    <w:rsid w:val="00564697"/>
    <w:rsid w:val="00564E76"/>
    <w:rsid w:val="00565228"/>
    <w:rsid w:val="0056563B"/>
    <w:rsid w:val="00567985"/>
    <w:rsid w:val="00567FB0"/>
    <w:rsid w:val="00573D3B"/>
    <w:rsid w:val="00574991"/>
    <w:rsid w:val="00574E4C"/>
    <w:rsid w:val="005759F1"/>
    <w:rsid w:val="0057650C"/>
    <w:rsid w:val="005769CA"/>
    <w:rsid w:val="005845D8"/>
    <w:rsid w:val="00585349"/>
    <w:rsid w:val="0058679B"/>
    <w:rsid w:val="005868BD"/>
    <w:rsid w:val="00586FBC"/>
    <w:rsid w:val="005903D1"/>
    <w:rsid w:val="00591249"/>
    <w:rsid w:val="005914A5"/>
    <w:rsid w:val="00592D5B"/>
    <w:rsid w:val="00593736"/>
    <w:rsid w:val="00594007"/>
    <w:rsid w:val="00595351"/>
    <w:rsid w:val="005953CA"/>
    <w:rsid w:val="00596C55"/>
    <w:rsid w:val="0059712D"/>
    <w:rsid w:val="005A024B"/>
    <w:rsid w:val="005A1D42"/>
    <w:rsid w:val="005A2CB7"/>
    <w:rsid w:val="005A45CC"/>
    <w:rsid w:val="005A4D6A"/>
    <w:rsid w:val="005A4F90"/>
    <w:rsid w:val="005A6AC5"/>
    <w:rsid w:val="005A6C31"/>
    <w:rsid w:val="005B01DB"/>
    <w:rsid w:val="005B0CA4"/>
    <w:rsid w:val="005B18EF"/>
    <w:rsid w:val="005B211F"/>
    <w:rsid w:val="005B29B7"/>
    <w:rsid w:val="005B3647"/>
    <w:rsid w:val="005B4913"/>
    <w:rsid w:val="005B4E88"/>
    <w:rsid w:val="005B4E91"/>
    <w:rsid w:val="005B4F24"/>
    <w:rsid w:val="005B5B96"/>
    <w:rsid w:val="005B6FB8"/>
    <w:rsid w:val="005B7D68"/>
    <w:rsid w:val="005C258D"/>
    <w:rsid w:val="005C2C79"/>
    <w:rsid w:val="005C2C9F"/>
    <w:rsid w:val="005C2D59"/>
    <w:rsid w:val="005C32E1"/>
    <w:rsid w:val="005C415D"/>
    <w:rsid w:val="005C456C"/>
    <w:rsid w:val="005C489F"/>
    <w:rsid w:val="005C7383"/>
    <w:rsid w:val="005D26AA"/>
    <w:rsid w:val="005D3238"/>
    <w:rsid w:val="005D33DC"/>
    <w:rsid w:val="005D3B61"/>
    <w:rsid w:val="005D4F0E"/>
    <w:rsid w:val="005E00C0"/>
    <w:rsid w:val="005E0D1F"/>
    <w:rsid w:val="005E1DA6"/>
    <w:rsid w:val="005E2CF2"/>
    <w:rsid w:val="005E3472"/>
    <w:rsid w:val="005E6122"/>
    <w:rsid w:val="005E7710"/>
    <w:rsid w:val="005E784F"/>
    <w:rsid w:val="005E786A"/>
    <w:rsid w:val="005E7C95"/>
    <w:rsid w:val="005E7D3B"/>
    <w:rsid w:val="005F1A54"/>
    <w:rsid w:val="005F1A5B"/>
    <w:rsid w:val="005F22F9"/>
    <w:rsid w:val="005F2BAF"/>
    <w:rsid w:val="005F2DBC"/>
    <w:rsid w:val="005F3479"/>
    <w:rsid w:val="005F3F33"/>
    <w:rsid w:val="005F547E"/>
    <w:rsid w:val="005F5FD4"/>
    <w:rsid w:val="005F7B54"/>
    <w:rsid w:val="00600ADC"/>
    <w:rsid w:val="00603AD8"/>
    <w:rsid w:val="00603F1E"/>
    <w:rsid w:val="00606DB2"/>
    <w:rsid w:val="00611D99"/>
    <w:rsid w:val="006124E1"/>
    <w:rsid w:val="0061336E"/>
    <w:rsid w:val="006153B9"/>
    <w:rsid w:val="006208C4"/>
    <w:rsid w:val="00621F22"/>
    <w:rsid w:val="006226EC"/>
    <w:rsid w:val="0062302B"/>
    <w:rsid w:val="006236D0"/>
    <w:rsid w:val="0062390A"/>
    <w:rsid w:val="0062438B"/>
    <w:rsid w:val="0062446A"/>
    <w:rsid w:val="00624EAE"/>
    <w:rsid w:val="0062671C"/>
    <w:rsid w:val="00626915"/>
    <w:rsid w:val="00630224"/>
    <w:rsid w:val="00630ADD"/>
    <w:rsid w:val="00630DC1"/>
    <w:rsid w:val="006313B0"/>
    <w:rsid w:val="00631DD5"/>
    <w:rsid w:val="0063202C"/>
    <w:rsid w:val="006335E9"/>
    <w:rsid w:val="0063618F"/>
    <w:rsid w:val="00636BAE"/>
    <w:rsid w:val="006400C7"/>
    <w:rsid w:val="006418CC"/>
    <w:rsid w:val="00641E6A"/>
    <w:rsid w:val="006427DE"/>
    <w:rsid w:val="00642DD5"/>
    <w:rsid w:val="006450DB"/>
    <w:rsid w:val="00645215"/>
    <w:rsid w:val="006456A9"/>
    <w:rsid w:val="00645774"/>
    <w:rsid w:val="00646C60"/>
    <w:rsid w:val="0064769E"/>
    <w:rsid w:val="00650105"/>
    <w:rsid w:val="00650243"/>
    <w:rsid w:val="006504F7"/>
    <w:rsid w:val="00650A08"/>
    <w:rsid w:val="00651EC1"/>
    <w:rsid w:val="0065268C"/>
    <w:rsid w:val="006538C3"/>
    <w:rsid w:val="00654AE1"/>
    <w:rsid w:val="00654C76"/>
    <w:rsid w:val="00655A8F"/>
    <w:rsid w:val="00656ABC"/>
    <w:rsid w:val="00656DE3"/>
    <w:rsid w:val="006572CF"/>
    <w:rsid w:val="00661DC0"/>
    <w:rsid w:val="006624A6"/>
    <w:rsid w:val="006628E8"/>
    <w:rsid w:val="00662E55"/>
    <w:rsid w:val="00663416"/>
    <w:rsid w:val="006635E0"/>
    <w:rsid w:val="006639C7"/>
    <w:rsid w:val="00663F2C"/>
    <w:rsid w:val="006640B2"/>
    <w:rsid w:val="00665063"/>
    <w:rsid w:val="00665C0C"/>
    <w:rsid w:val="00666C41"/>
    <w:rsid w:val="00671699"/>
    <w:rsid w:val="006721E2"/>
    <w:rsid w:val="0067275B"/>
    <w:rsid w:val="00672EFF"/>
    <w:rsid w:val="00673028"/>
    <w:rsid w:val="00674131"/>
    <w:rsid w:val="0067590E"/>
    <w:rsid w:val="00675FA7"/>
    <w:rsid w:val="00676E16"/>
    <w:rsid w:val="00676E4B"/>
    <w:rsid w:val="00681810"/>
    <w:rsid w:val="00681B7B"/>
    <w:rsid w:val="006840BC"/>
    <w:rsid w:val="00684CF4"/>
    <w:rsid w:val="0068530C"/>
    <w:rsid w:val="00685C33"/>
    <w:rsid w:val="00686B5D"/>
    <w:rsid w:val="00686EE3"/>
    <w:rsid w:val="006872BF"/>
    <w:rsid w:val="006877C9"/>
    <w:rsid w:val="00687810"/>
    <w:rsid w:val="00687C65"/>
    <w:rsid w:val="00687F73"/>
    <w:rsid w:val="00690194"/>
    <w:rsid w:val="00692026"/>
    <w:rsid w:val="00693642"/>
    <w:rsid w:val="00693866"/>
    <w:rsid w:val="00694819"/>
    <w:rsid w:val="00694C46"/>
    <w:rsid w:val="00694DA8"/>
    <w:rsid w:val="006955B5"/>
    <w:rsid w:val="00695AC8"/>
    <w:rsid w:val="006971D4"/>
    <w:rsid w:val="00697482"/>
    <w:rsid w:val="006976FE"/>
    <w:rsid w:val="006A01B0"/>
    <w:rsid w:val="006A1CBC"/>
    <w:rsid w:val="006A1E46"/>
    <w:rsid w:val="006A2F2C"/>
    <w:rsid w:val="006A317A"/>
    <w:rsid w:val="006A49BF"/>
    <w:rsid w:val="006A4C57"/>
    <w:rsid w:val="006A5EA8"/>
    <w:rsid w:val="006B244F"/>
    <w:rsid w:val="006B3E97"/>
    <w:rsid w:val="006B4203"/>
    <w:rsid w:val="006B4631"/>
    <w:rsid w:val="006B5152"/>
    <w:rsid w:val="006B576A"/>
    <w:rsid w:val="006B5D4D"/>
    <w:rsid w:val="006B7AAA"/>
    <w:rsid w:val="006C0974"/>
    <w:rsid w:val="006C1121"/>
    <w:rsid w:val="006C306F"/>
    <w:rsid w:val="006C3216"/>
    <w:rsid w:val="006C5F64"/>
    <w:rsid w:val="006C6663"/>
    <w:rsid w:val="006C730D"/>
    <w:rsid w:val="006C75ED"/>
    <w:rsid w:val="006C7A4B"/>
    <w:rsid w:val="006D13D3"/>
    <w:rsid w:val="006D1420"/>
    <w:rsid w:val="006D3204"/>
    <w:rsid w:val="006D34FA"/>
    <w:rsid w:val="006D3C08"/>
    <w:rsid w:val="006D47AF"/>
    <w:rsid w:val="006D4F82"/>
    <w:rsid w:val="006D5773"/>
    <w:rsid w:val="006D58EC"/>
    <w:rsid w:val="006D6C4B"/>
    <w:rsid w:val="006D6D65"/>
    <w:rsid w:val="006D7D04"/>
    <w:rsid w:val="006E000A"/>
    <w:rsid w:val="006E070F"/>
    <w:rsid w:val="006E53BE"/>
    <w:rsid w:val="006E6CC0"/>
    <w:rsid w:val="006F13BA"/>
    <w:rsid w:val="006F1CEE"/>
    <w:rsid w:val="006F2F4B"/>
    <w:rsid w:val="006F37E1"/>
    <w:rsid w:val="006F3F70"/>
    <w:rsid w:val="006F55F5"/>
    <w:rsid w:val="006F7A67"/>
    <w:rsid w:val="00703084"/>
    <w:rsid w:val="007040F5"/>
    <w:rsid w:val="00706DB9"/>
    <w:rsid w:val="00710013"/>
    <w:rsid w:val="00711991"/>
    <w:rsid w:val="00712031"/>
    <w:rsid w:val="0071255B"/>
    <w:rsid w:val="007125E0"/>
    <w:rsid w:val="00712A95"/>
    <w:rsid w:val="00712C42"/>
    <w:rsid w:val="00712F66"/>
    <w:rsid w:val="00713F55"/>
    <w:rsid w:val="00714804"/>
    <w:rsid w:val="00714C3A"/>
    <w:rsid w:val="007169FC"/>
    <w:rsid w:val="00720268"/>
    <w:rsid w:val="00721DEE"/>
    <w:rsid w:val="00722150"/>
    <w:rsid w:val="007224CE"/>
    <w:rsid w:val="00722630"/>
    <w:rsid w:val="00725EDD"/>
    <w:rsid w:val="007300CC"/>
    <w:rsid w:val="0073069B"/>
    <w:rsid w:val="00732D38"/>
    <w:rsid w:val="007331D2"/>
    <w:rsid w:val="00733585"/>
    <w:rsid w:val="00733A1D"/>
    <w:rsid w:val="007341F7"/>
    <w:rsid w:val="00736277"/>
    <w:rsid w:val="00736AF9"/>
    <w:rsid w:val="0074186A"/>
    <w:rsid w:val="00741DA4"/>
    <w:rsid w:val="00741E63"/>
    <w:rsid w:val="007457D1"/>
    <w:rsid w:val="00745D68"/>
    <w:rsid w:val="0075031E"/>
    <w:rsid w:val="007511DA"/>
    <w:rsid w:val="007517CF"/>
    <w:rsid w:val="00752D42"/>
    <w:rsid w:val="00754BB0"/>
    <w:rsid w:val="00760C03"/>
    <w:rsid w:val="007611B1"/>
    <w:rsid w:val="00762476"/>
    <w:rsid w:val="00762B3D"/>
    <w:rsid w:val="00763364"/>
    <w:rsid w:val="007643C5"/>
    <w:rsid w:val="007643E7"/>
    <w:rsid w:val="00767A63"/>
    <w:rsid w:val="00767D7E"/>
    <w:rsid w:val="0077017A"/>
    <w:rsid w:val="007705D1"/>
    <w:rsid w:val="007706CF"/>
    <w:rsid w:val="00770AF5"/>
    <w:rsid w:val="00770BB8"/>
    <w:rsid w:val="00771AE8"/>
    <w:rsid w:val="007721E3"/>
    <w:rsid w:val="00772F4E"/>
    <w:rsid w:val="007731F0"/>
    <w:rsid w:val="00773D4B"/>
    <w:rsid w:val="0077561A"/>
    <w:rsid w:val="007757A9"/>
    <w:rsid w:val="007759F8"/>
    <w:rsid w:val="00776430"/>
    <w:rsid w:val="007769BE"/>
    <w:rsid w:val="007779F9"/>
    <w:rsid w:val="0078270A"/>
    <w:rsid w:val="00784BA0"/>
    <w:rsid w:val="00784F38"/>
    <w:rsid w:val="00784FB7"/>
    <w:rsid w:val="00787496"/>
    <w:rsid w:val="00790725"/>
    <w:rsid w:val="007911C5"/>
    <w:rsid w:val="00791920"/>
    <w:rsid w:val="007926B3"/>
    <w:rsid w:val="00792781"/>
    <w:rsid w:val="0079364C"/>
    <w:rsid w:val="0079538D"/>
    <w:rsid w:val="007959C0"/>
    <w:rsid w:val="00796D35"/>
    <w:rsid w:val="00797180"/>
    <w:rsid w:val="00797DBD"/>
    <w:rsid w:val="007A3894"/>
    <w:rsid w:val="007A69D4"/>
    <w:rsid w:val="007A70F8"/>
    <w:rsid w:val="007B00FE"/>
    <w:rsid w:val="007B34DE"/>
    <w:rsid w:val="007B38C0"/>
    <w:rsid w:val="007B3EA1"/>
    <w:rsid w:val="007B5D21"/>
    <w:rsid w:val="007B6019"/>
    <w:rsid w:val="007B66B9"/>
    <w:rsid w:val="007C03BB"/>
    <w:rsid w:val="007C3FB3"/>
    <w:rsid w:val="007C4228"/>
    <w:rsid w:val="007C5921"/>
    <w:rsid w:val="007C5EEE"/>
    <w:rsid w:val="007C6D72"/>
    <w:rsid w:val="007C7BB4"/>
    <w:rsid w:val="007D05AD"/>
    <w:rsid w:val="007D1FCD"/>
    <w:rsid w:val="007D2AF2"/>
    <w:rsid w:val="007D4A21"/>
    <w:rsid w:val="007D4FD5"/>
    <w:rsid w:val="007D56BE"/>
    <w:rsid w:val="007D64FB"/>
    <w:rsid w:val="007D6C7F"/>
    <w:rsid w:val="007E1712"/>
    <w:rsid w:val="007E28AA"/>
    <w:rsid w:val="007E28F7"/>
    <w:rsid w:val="007E39F2"/>
    <w:rsid w:val="007E458C"/>
    <w:rsid w:val="007E4600"/>
    <w:rsid w:val="007E4791"/>
    <w:rsid w:val="007E4803"/>
    <w:rsid w:val="007E489D"/>
    <w:rsid w:val="007E4E38"/>
    <w:rsid w:val="007F0271"/>
    <w:rsid w:val="007F178E"/>
    <w:rsid w:val="007F2247"/>
    <w:rsid w:val="007F2CA8"/>
    <w:rsid w:val="007F2F48"/>
    <w:rsid w:val="007F312D"/>
    <w:rsid w:val="007F4BC3"/>
    <w:rsid w:val="007F4CF1"/>
    <w:rsid w:val="007F578D"/>
    <w:rsid w:val="007F5A24"/>
    <w:rsid w:val="007F5D5D"/>
    <w:rsid w:val="007F73E4"/>
    <w:rsid w:val="007F78EF"/>
    <w:rsid w:val="007F7BD4"/>
    <w:rsid w:val="007F7EE1"/>
    <w:rsid w:val="007F7F52"/>
    <w:rsid w:val="00800197"/>
    <w:rsid w:val="008001C9"/>
    <w:rsid w:val="008002EF"/>
    <w:rsid w:val="00800504"/>
    <w:rsid w:val="00801C6E"/>
    <w:rsid w:val="008038E1"/>
    <w:rsid w:val="00804101"/>
    <w:rsid w:val="008049DF"/>
    <w:rsid w:val="00805641"/>
    <w:rsid w:val="00805C66"/>
    <w:rsid w:val="00806151"/>
    <w:rsid w:val="00806186"/>
    <w:rsid w:val="00806F83"/>
    <w:rsid w:val="00807584"/>
    <w:rsid w:val="0081122A"/>
    <w:rsid w:val="00813D5B"/>
    <w:rsid w:val="00816017"/>
    <w:rsid w:val="0082317B"/>
    <w:rsid w:val="008256AE"/>
    <w:rsid w:val="008261EE"/>
    <w:rsid w:val="008270E4"/>
    <w:rsid w:val="008300D2"/>
    <w:rsid w:val="008310C5"/>
    <w:rsid w:val="008347C4"/>
    <w:rsid w:val="00835435"/>
    <w:rsid w:val="0083543F"/>
    <w:rsid w:val="00836BF2"/>
    <w:rsid w:val="008379DE"/>
    <w:rsid w:val="00837DE4"/>
    <w:rsid w:val="00840000"/>
    <w:rsid w:val="008418A4"/>
    <w:rsid w:val="00841B84"/>
    <w:rsid w:val="00842A76"/>
    <w:rsid w:val="00842F72"/>
    <w:rsid w:val="00843075"/>
    <w:rsid w:val="0084489E"/>
    <w:rsid w:val="00844B64"/>
    <w:rsid w:val="00845361"/>
    <w:rsid w:val="00851201"/>
    <w:rsid w:val="00851582"/>
    <w:rsid w:val="0085174B"/>
    <w:rsid w:val="00851DCF"/>
    <w:rsid w:val="008522CE"/>
    <w:rsid w:val="008555D1"/>
    <w:rsid w:val="00855622"/>
    <w:rsid w:val="00856AED"/>
    <w:rsid w:val="00857D29"/>
    <w:rsid w:val="00860166"/>
    <w:rsid w:val="008602CF"/>
    <w:rsid w:val="00860470"/>
    <w:rsid w:val="0086058B"/>
    <w:rsid w:val="008610AB"/>
    <w:rsid w:val="008617DA"/>
    <w:rsid w:val="00862F29"/>
    <w:rsid w:val="008637A1"/>
    <w:rsid w:val="0086387B"/>
    <w:rsid w:val="00864333"/>
    <w:rsid w:val="0086437F"/>
    <w:rsid w:val="008650AF"/>
    <w:rsid w:val="008654B6"/>
    <w:rsid w:val="0086573D"/>
    <w:rsid w:val="008660C4"/>
    <w:rsid w:val="00866699"/>
    <w:rsid w:val="0087043A"/>
    <w:rsid w:val="00871938"/>
    <w:rsid w:val="00872356"/>
    <w:rsid w:val="0087478B"/>
    <w:rsid w:val="008763E0"/>
    <w:rsid w:val="00876E13"/>
    <w:rsid w:val="00876F84"/>
    <w:rsid w:val="008771FA"/>
    <w:rsid w:val="00880C35"/>
    <w:rsid w:val="00880D71"/>
    <w:rsid w:val="008824E1"/>
    <w:rsid w:val="00883184"/>
    <w:rsid w:val="00884777"/>
    <w:rsid w:val="00885A51"/>
    <w:rsid w:val="00885D80"/>
    <w:rsid w:val="008864BA"/>
    <w:rsid w:val="00887B5A"/>
    <w:rsid w:val="00887CCE"/>
    <w:rsid w:val="008909B9"/>
    <w:rsid w:val="00890EE6"/>
    <w:rsid w:val="00890F3E"/>
    <w:rsid w:val="00891321"/>
    <w:rsid w:val="008916CC"/>
    <w:rsid w:val="00891F3C"/>
    <w:rsid w:val="00892DD0"/>
    <w:rsid w:val="00894DB4"/>
    <w:rsid w:val="008961D6"/>
    <w:rsid w:val="008A12B8"/>
    <w:rsid w:val="008A1727"/>
    <w:rsid w:val="008A20DA"/>
    <w:rsid w:val="008A23BD"/>
    <w:rsid w:val="008A4D1C"/>
    <w:rsid w:val="008A5411"/>
    <w:rsid w:val="008A6A37"/>
    <w:rsid w:val="008A6D87"/>
    <w:rsid w:val="008B0656"/>
    <w:rsid w:val="008B12E0"/>
    <w:rsid w:val="008B1460"/>
    <w:rsid w:val="008B18AE"/>
    <w:rsid w:val="008B2E9F"/>
    <w:rsid w:val="008B30DB"/>
    <w:rsid w:val="008B31A5"/>
    <w:rsid w:val="008B39B8"/>
    <w:rsid w:val="008B3E4C"/>
    <w:rsid w:val="008B3F7A"/>
    <w:rsid w:val="008B3F84"/>
    <w:rsid w:val="008B4825"/>
    <w:rsid w:val="008B4A1A"/>
    <w:rsid w:val="008B5577"/>
    <w:rsid w:val="008B62B3"/>
    <w:rsid w:val="008B7AA9"/>
    <w:rsid w:val="008B7FDD"/>
    <w:rsid w:val="008C3114"/>
    <w:rsid w:val="008C312F"/>
    <w:rsid w:val="008C4264"/>
    <w:rsid w:val="008C454D"/>
    <w:rsid w:val="008C471D"/>
    <w:rsid w:val="008C4DA4"/>
    <w:rsid w:val="008C55D9"/>
    <w:rsid w:val="008C697C"/>
    <w:rsid w:val="008C6D6F"/>
    <w:rsid w:val="008C772B"/>
    <w:rsid w:val="008D1385"/>
    <w:rsid w:val="008D2F42"/>
    <w:rsid w:val="008D301F"/>
    <w:rsid w:val="008D329A"/>
    <w:rsid w:val="008D33FE"/>
    <w:rsid w:val="008D4220"/>
    <w:rsid w:val="008D44BD"/>
    <w:rsid w:val="008D644A"/>
    <w:rsid w:val="008D76BC"/>
    <w:rsid w:val="008E0C63"/>
    <w:rsid w:val="008E2AFF"/>
    <w:rsid w:val="008E2DF2"/>
    <w:rsid w:val="008E403D"/>
    <w:rsid w:val="008E4841"/>
    <w:rsid w:val="008E674A"/>
    <w:rsid w:val="008E7BB2"/>
    <w:rsid w:val="008F0AD1"/>
    <w:rsid w:val="008F0C41"/>
    <w:rsid w:val="008F1D62"/>
    <w:rsid w:val="008F206F"/>
    <w:rsid w:val="008F3127"/>
    <w:rsid w:val="008F4395"/>
    <w:rsid w:val="008F48E6"/>
    <w:rsid w:val="008F635D"/>
    <w:rsid w:val="008F680A"/>
    <w:rsid w:val="008F7150"/>
    <w:rsid w:val="008F728E"/>
    <w:rsid w:val="008F7B16"/>
    <w:rsid w:val="00900BF4"/>
    <w:rsid w:val="00900CB3"/>
    <w:rsid w:val="00900FBA"/>
    <w:rsid w:val="009011A9"/>
    <w:rsid w:val="009011EE"/>
    <w:rsid w:val="00901855"/>
    <w:rsid w:val="0090234D"/>
    <w:rsid w:val="00903043"/>
    <w:rsid w:val="0090338E"/>
    <w:rsid w:val="00903D00"/>
    <w:rsid w:val="0090635E"/>
    <w:rsid w:val="00906EEB"/>
    <w:rsid w:val="00910D92"/>
    <w:rsid w:val="00914683"/>
    <w:rsid w:val="00915C11"/>
    <w:rsid w:val="009160EF"/>
    <w:rsid w:val="0091779B"/>
    <w:rsid w:val="00917FD3"/>
    <w:rsid w:val="0092059A"/>
    <w:rsid w:val="00920AC2"/>
    <w:rsid w:val="00921AFE"/>
    <w:rsid w:val="009228E4"/>
    <w:rsid w:val="00922A24"/>
    <w:rsid w:val="00923482"/>
    <w:rsid w:val="009245C0"/>
    <w:rsid w:val="00927FC7"/>
    <w:rsid w:val="0093066F"/>
    <w:rsid w:val="00930A3D"/>
    <w:rsid w:val="009321A7"/>
    <w:rsid w:val="00936D62"/>
    <w:rsid w:val="009371FA"/>
    <w:rsid w:val="00937B51"/>
    <w:rsid w:val="009406C9"/>
    <w:rsid w:val="00940753"/>
    <w:rsid w:val="0094313D"/>
    <w:rsid w:val="00944D0F"/>
    <w:rsid w:val="00946A09"/>
    <w:rsid w:val="00946C20"/>
    <w:rsid w:val="009472D4"/>
    <w:rsid w:val="0094778D"/>
    <w:rsid w:val="00951928"/>
    <w:rsid w:val="00951D98"/>
    <w:rsid w:val="00952E39"/>
    <w:rsid w:val="009543B7"/>
    <w:rsid w:val="00955088"/>
    <w:rsid w:val="00955F21"/>
    <w:rsid w:val="00956750"/>
    <w:rsid w:val="00956E34"/>
    <w:rsid w:val="00957F97"/>
    <w:rsid w:val="00961B36"/>
    <w:rsid w:val="00962C2A"/>
    <w:rsid w:val="00963891"/>
    <w:rsid w:val="009643E0"/>
    <w:rsid w:val="0096440C"/>
    <w:rsid w:val="00965CAA"/>
    <w:rsid w:val="009665DF"/>
    <w:rsid w:val="00966D39"/>
    <w:rsid w:val="0096747D"/>
    <w:rsid w:val="009700BA"/>
    <w:rsid w:val="00970AF4"/>
    <w:rsid w:val="0097138B"/>
    <w:rsid w:val="0097269C"/>
    <w:rsid w:val="0097558C"/>
    <w:rsid w:val="009766B6"/>
    <w:rsid w:val="00976D4E"/>
    <w:rsid w:val="00976FBB"/>
    <w:rsid w:val="009802DD"/>
    <w:rsid w:val="00980482"/>
    <w:rsid w:val="00981962"/>
    <w:rsid w:val="009824A2"/>
    <w:rsid w:val="0098371A"/>
    <w:rsid w:val="00983E58"/>
    <w:rsid w:val="00984C93"/>
    <w:rsid w:val="0098520B"/>
    <w:rsid w:val="009866AD"/>
    <w:rsid w:val="00987D7D"/>
    <w:rsid w:val="009915FD"/>
    <w:rsid w:val="0099223D"/>
    <w:rsid w:val="00992397"/>
    <w:rsid w:val="009931C9"/>
    <w:rsid w:val="00995A4F"/>
    <w:rsid w:val="00995BD4"/>
    <w:rsid w:val="00996171"/>
    <w:rsid w:val="00997ED4"/>
    <w:rsid w:val="009A031B"/>
    <w:rsid w:val="009A0547"/>
    <w:rsid w:val="009B0605"/>
    <w:rsid w:val="009B122E"/>
    <w:rsid w:val="009B12F0"/>
    <w:rsid w:val="009B1641"/>
    <w:rsid w:val="009B2011"/>
    <w:rsid w:val="009B4593"/>
    <w:rsid w:val="009B524C"/>
    <w:rsid w:val="009B56AB"/>
    <w:rsid w:val="009B6FA8"/>
    <w:rsid w:val="009C1AB2"/>
    <w:rsid w:val="009C25BA"/>
    <w:rsid w:val="009C3691"/>
    <w:rsid w:val="009C4134"/>
    <w:rsid w:val="009C4BAE"/>
    <w:rsid w:val="009C6263"/>
    <w:rsid w:val="009C73CD"/>
    <w:rsid w:val="009D1086"/>
    <w:rsid w:val="009D1255"/>
    <w:rsid w:val="009D1D0C"/>
    <w:rsid w:val="009D1EDF"/>
    <w:rsid w:val="009D218E"/>
    <w:rsid w:val="009D2781"/>
    <w:rsid w:val="009D4C4E"/>
    <w:rsid w:val="009D5427"/>
    <w:rsid w:val="009D5535"/>
    <w:rsid w:val="009D5A3C"/>
    <w:rsid w:val="009D5A70"/>
    <w:rsid w:val="009D5CDE"/>
    <w:rsid w:val="009E07AD"/>
    <w:rsid w:val="009E18D0"/>
    <w:rsid w:val="009E29E4"/>
    <w:rsid w:val="009E2BD0"/>
    <w:rsid w:val="009E2D4D"/>
    <w:rsid w:val="009E317B"/>
    <w:rsid w:val="009E451F"/>
    <w:rsid w:val="009E47F6"/>
    <w:rsid w:val="009E4A89"/>
    <w:rsid w:val="009E4B7E"/>
    <w:rsid w:val="009E4C74"/>
    <w:rsid w:val="009E4F93"/>
    <w:rsid w:val="009E65B8"/>
    <w:rsid w:val="009E6AFF"/>
    <w:rsid w:val="009F067A"/>
    <w:rsid w:val="009F079F"/>
    <w:rsid w:val="009F0BBC"/>
    <w:rsid w:val="009F0CB8"/>
    <w:rsid w:val="009F1662"/>
    <w:rsid w:val="009F17C4"/>
    <w:rsid w:val="009F1E90"/>
    <w:rsid w:val="009F589E"/>
    <w:rsid w:val="009F5A4C"/>
    <w:rsid w:val="009F5E9B"/>
    <w:rsid w:val="009F680C"/>
    <w:rsid w:val="009F7393"/>
    <w:rsid w:val="00A00781"/>
    <w:rsid w:val="00A012B8"/>
    <w:rsid w:val="00A0385C"/>
    <w:rsid w:val="00A06B80"/>
    <w:rsid w:val="00A072C0"/>
    <w:rsid w:val="00A108CB"/>
    <w:rsid w:val="00A11457"/>
    <w:rsid w:val="00A11C85"/>
    <w:rsid w:val="00A12160"/>
    <w:rsid w:val="00A12F03"/>
    <w:rsid w:val="00A1419F"/>
    <w:rsid w:val="00A1483A"/>
    <w:rsid w:val="00A14FB3"/>
    <w:rsid w:val="00A150AD"/>
    <w:rsid w:val="00A1510A"/>
    <w:rsid w:val="00A159C7"/>
    <w:rsid w:val="00A16B09"/>
    <w:rsid w:val="00A171C7"/>
    <w:rsid w:val="00A175CD"/>
    <w:rsid w:val="00A17B47"/>
    <w:rsid w:val="00A21A3E"/>
    <w:rsid w:val="00A222B7"/>
    <w:rsid w:val="00A229AE"/>
    <w:rsid w:val="00A2590E"/>
    <w:rsid w:val="00A25ADB"/>
    <w:rsid w:val="00A26613"/>
    <w:rsid w:val="00A27A40"/>
    <w:rsid w:val="00A3028B"/>
    <w:rsid w:val="00A325C7"/>
    <w:rsid w:val="00A339CA"/>
    <w:rsid w:val="00A35F8A"/>
    <w:rsid w:val="00A36059"/>
    <w:rsid w:val="00A362F0"/>
    <w:rsid w:val="00A36FD0"/>
    <w:rsid w:val="00A4034C"/>
    <w:rsid w:val="00A42DBE"/>
    <w:rsid w:val="00A43128"/>
    <w:rsid w:val="00A439F2"/>
    <w:rsid w:val="00A45044"/>
    <w:rsid w:val="00A45C2B"/>
    <w:rsid w:val="00A502C7"/>
    <w:rsid w:val="00A50B19"/>
    <w:rsid w:val="00A51B2E"/>
    <w:rsid w:val="00A55C47"/>
    <w:rsid w:val="00A5749C"/>
    <w:rsid w:val="00A579F4"/>
    <w:rsid w:val="00A611C8"/>
    <w:rsid w:val="00A617C2"/>
    <w:rsid w:val="00A61DF7"/>
    <w:rsid w:val="00A62B10"/>
    <w:rsid w:val="00A633C1"/>
    <w:rsid w:val="00A635D3"/>
    <w:rsid w:val="00A65799"/>
    <w:rsid w:val="00A66296"/>
    <w:rsid w:val="00A67333"/>
    <w:rsid w:val="00A7047D"/>
    <w:rsid w:val="00A7242B"/>
    <w:rsid w:val="00A73C96"/>
    <w:rsid w:val="00A752F3"/>
    <w:rsid w:val="00A75F7B"/>
    <w:rsid w:val="00A765B7"/>
    <w:rsid w:val="00A76A76"/>
    <w:rsid w:val="00A80DDC"/>
    <w:rsid w:val="00A80FDD"/>
    <w:rsid w:val="00A81BB9"/>
    <w:rsid w:val="00A81FC0"/>
    <w:rsid w:val="00A8270B"/>
    <w:rsid w:val="00A83B20"/>
    <w:rsid w:val="00A83EA5"/>
    <w:rsid w:val="00A83F00"/>
    <w:rsid w:val="00A85660"/>
    <w:rsid w:val="00A86CF0"/>
    <w:rsid w:val="00A871E9"/>
    <w:rsid w:val="00A8730F"/>
    <w:rsid w:val="00A87F4F"/>
    <w:rsid w:val="00A90FB6"/>
    <w:rsid w:val="00A92B42"/>
    <w:rsid w:val="00AA0EE2"/>
    <w:rsid w:val="00AA108D"/>
    <w:rsid w:val="00AA1152"/>
    <w:rsid w:val="00AA223F"/>
    <w:rsid w:val="00AA2CF5"/>
    <w:rsid w:val="00AA3CE7"/>
    <w:rsid w:val="00AA54B2"/>
    <w:rsid w:val="00AA5EE3"/>
    <w:rsid w:val="00AA6574"/>
    <w:rsid w:val="00AB05E3"/>
    <w:rsid w:val="00AB17BB"/>
    <w:rsid w:val="00AB1AD4"/>
    <w:rsid w:val="00AB1C7C"/>
    <w:rsid w:val="00AB2636"/>
    <w:rsid w:val="00AB3271"/>
    <w:rsid w:val="00AB41B2"/>
    <w:rsid w:val="00AB48EB"/>
    <w:rsid w:val="00AB4D86"/>
    <w:rsid w:val="00AB5808"/>
    <w:rsid w:val="00AB6C32"/>
    <w:rsid w:val="00AB6F5C"/>
    <w:rsid w:val="00AB74E1"/>
    <w:rsid w:val="00AB75EB"/>
    <w:rsid w:val="00AB7947"/>
    <w:rsid w:val="00AC0488"/>
    <w:rsid w:val="00AC04D1"/>
    <w:rsid w:val="00AC1906"/>
    <w:rsid w:val="00AC197C"/>
    <w:rsid w:val="00AC2158"/>
    <w:rsid w:val="00AC408D"/>
    <w:rsid w:val="00AC42FA"/>
    <w:rsid w:val="00AC49F2"/>
    <w:rsid w:val="00AC6137"/>
    <w:rsid w:val="00AC6245"/>
    <w:rsid w:val="00AC7A40"/>
    <w:rsid w:val="00AD0265"/>
    <w:rsid w:val="00AD054F"/>
    <w:rsid w:val="00AD0BC2"/>
    <w:rsid w:val="00AD247D"/>
    <w:rsid w:val="00AD2743"/>
    <w:rsid w:val="00AD2A4D"/>
    <w:rsid w:val="00AD332D"/>
    <w:rsid w:val="00AD3956"/>
    <w:rsid w:val="00AD49EB"/>
    <w:rsid w:val="00AD6702"/>
    <w:rsid w:val="00AD6E08"/>
    <w:rsid w:val="00AE0205"/>
    <w:rsid w:val="00AE0374"/>
    <w:rsid w:val="00AE0504"/>
    <w:rsid w:val="00AE0C6F"/>
    <w:rsid w:val="00AE1EDD"/>
    <w:rsid w:val="00AE25C1"/>
    <w:rsid w:val="00AE2B04"/>
    <w:rsid w:val="00AE2C76"/>
    <w:rsid w:val="00AE4A56"/>
    <w:rsid w:val="00AE65F7"/>
    <w:rsid w:val="00AE6CF1"/>
    <w:rsid w:val="00AE6D43"/>
    <w:rsid w:val="00AE6E68"/>
    <w:rsid w:val="00AE750A"/>
    <w:rsid w:val="00AF2D4B"/>
    <w:rsid w:val="00AF2DC4"/>
    <w:rsid w:val="00AF495A"/>
    <w:rsid w:val="00AF4B84"/>
    <w:rsid w:val="00AF4CBB"/>
    <w:rsid w:val="00AF4D5A"/>
    <w:rsid w:val="00AF5936"/>
    <w:rsid w:val="00AF5C3F"/>
    <w:rsid w:val="00AF5CFC"/>
    <w:rsid w:val="00AF6C3D"/>
    <w:rsid w:val="00AF7258"/>
    <w:rsid w:val="00AF7A83"/>
    <w:rsid w:val="00AF7E80"/>
    <w:rsid w:val="00B01A1C"/>
    <w:rsid w:val="00B02379"/>
    <w:rsid w:val="00B033B6"/>
    <w:rsid w:val="00B04331"/>
    <w:rsid w:val="00B05360"/>
    <w:rsid w:val="00B056A5"/>
    <w:rsid w:val="00B077AC"/>
    <w:rsid w:val="00B10701"/>
    <w:rsid w:val="00B114EB"/>
    <w:rsid w:val="00B119C9"/>
    <w:rsid w:val="00B12EFA"/>
    <w:rsid w:val="00B13223"/>
    <w:rsid w:val="00B136E0"/>
    <w:rsid w:val="00B142FC"/>
    <w:rsid w:val="00B14313"/>
    <w:rsid w:val="00B14330"/>
    <w:rsid w:val="00B163B1"/>
    <w:rsid w:val="00B21194"/>
    <w:rsid w:val="00B211B5"/>
    <w:rsid w:val="00B21645"/>
    <w:rsid w:val="00B219C6"/>
    <w:rsid w:val="00B22D44"/>
    <w:rsid w:val="00B23018"/>
    <w:rsid w:val="00B23632"/>
    <w:rsid w:val="00B24503"/>
    <w:rsid w:val="00B24BE6"/>
    <w:rsid w:val="00B25BB2"/>
    <w:rsid w:val="00B273E9"/>
    <w:rsid w:val="00B321D5"/>
    <w:rsid w:val="00B33FA8"/>
    <w:rsid w:val="00B34EB4"/>
    <w:rsid w:val="00B41CE1"/>
    <w:rsid w:val="00B41D46"/>
    <w:rsid w:val="00B423BF"/>
    <w:rsid w:val="00B43A1B"/>
    <w:rsid w:val="00B43F34"/>
    <w:rsid w:val="00B4402C"/>
    <w:rsid w:val="00B444E9"/>
    <w:rsid w:val="00B4531E"/>
    <w:rsid w:val="00B46015"/>
    <w:rsid w:val="00B503C8"/>
    <w:rsid w:val="00B51291"/>
    <w:rsid w:val="00B529D1"/>
    <w:rsid w:val="00B5468A"/>
    <w:rsid w:val="00B54EBF"/>
    <w:rsid w:val="00B5546C"/>
    <w:rsid w:val="00B57CE5"/>
    <w:rsid w:val="00B601F1"/>
    <w:rsid w:val="00B60423"/>
    <w:rsid w:val="00B622DD"/>
    <w:rsid w:val="00B628A4"/>
    <w:rsid w:val="00B63CEA"/>
    <w:rsid w:val="00B65D09"/>
    <w:rsid w:val="00B65EEF"/>
    <w:rsid w:val="00B671B8"/>
    <w:rsid w:val="00B6799F"/>
    <w:rsid w:val="00B70346"/>
    <w:rsid w:val="00B727D2"/>
    <w:rsid w:val="00B7467E"/>
    <w:rsid w:val="00B746F9"/>
    <w:rsid w:val="00B750D7"/>
    <w:rsid w:val="00B7529B"/>
    <w:rsid w:val="00B7554C"/>
    <w:rsid w:val="00B756D0"/>
    <w:rsid w:val="00B75B8D"/>
    <w:rsid w:val="00B75BB6"/>
    <w:rsid w:val="00B76505"/>
    <w:rsid w:val="00B76AA6"/>
    <w:rsid w:val="00B81B62"/>
    <w:rsid w:val="00B84F73"/>
    <w:rsid w:val="00B85DD9"/>
    <w:rsid w:val="00B86072"/>
    <w:rsid w:val="00B870A4"/>
    <w:rsid w:val="00B90331"/>
    <w:rsid w:val="00B90ABA"/>
    <w:rsid w:val="00B919C4"/>
    <w:rsid w:val="00B920E6"/>
    <w:rsid w:val="00B924D0"/>
    <w:rsid w:val="00B945F4"/>
    <w:rsid w:val="00B9569C"/>
    <w:rsid w:val="00B95AE4"/>
    <w:rsid w:val="00B97B16"/>
    <w:rsid w:val="00BA00CC"/>
    <w:rsid w:val="00BA033E"/>
    <w:rsid w:val="00BA06B6"/>
    <w:rsid w:val="00BA1144"/>
    <w:rsid w:val="00BA14F5"/>
    <w:rsid w:val="00BA22F6"/>
    <w:rsid w:val="00BA3ECE"/>
    <w:rsid w:val="00BA42E2"/>
    <w:rsid w:val="00BA4657"/>
    <w:rsid w:val="00BA4911"/>
    <w:rsid w:val="00BA723C"/>
    <w:rsid w:val="00BA7506"/>
    <w:rsid w:val="00BB1BB0"/>
    <w:rsid w:val="00BB32FB"/>
    <w:rsid w:val="00BB5BDC"/>
    <w:rsid w:val="00BB65C5"/>
    <w:rsid w:val="00BB66E6"/>
    <w:rsid w:val="00BB7C36"/>
    <w:rsid w:val="00BC0717"/>
    <w:rsid w:val="00BC2726"/>
    <w:rsid w:val="00BC45C0"/>
    <w:rsid w:val="00BC5192"/>
    <w:rsid w:val="00BC5D03"/>
    <w:rsid w:val="00BC6F17"/>
    <w:rsid w:val="00BC7D0F"/>
    <w:rsid w:val="00BC7F41"/>
    <w:rsid w:val="00BD0897"/>
    <w:rsid w:val="00BD0C06"/>
    <w:rsid w:val="00BD0CC2"/>
    <w:rsid w:val="00BD15AF"/>
    <w:rsid w:val="00BD2477"/>
    <w:rsid w:val="00BD2D3B"/>
    <w:rsid w:val="00BD35A1"/>
    <w:rsid w:val="00BD3965"/>
    <w:rsid w:val="00BD4550"/>
    <w:rsid w:val="00BD6F16"/>
    <w:rsid w:val="00BE0A37"/>
    <w:rsid w:val="00BE0B33"/>
    <w:rsid w:val="00BE0BA6"/>
    <w:rsid w:val="00BE2FF6"/>
    <w:rsid w:val="00BE3A3B"/>
    <w:rsid w:val="00BE45C2"/>
    <w:rsid w:val="00BE53D6"/>
    <w:rsid w:val="00BE6168"/>
    <w:rsid w:val="00BF1158"/>
    <w:rsid w:val="00BF1452"/>
    <w:rsid w:val="00BF32E0"/>
    <w:rsid w:val="00BF4853"/>
    <w:rsid w:val="00BF4C7C"/>
    <w:rsid w:val="00BF749E"/>
    <w:rsid w:val="00BF7D9B"/>
    <w:rsid w:val="00C01A13"/>
    <w:rsid w:val="00C079D3"/>
    <w:rsid w:val="00C07A11"/>
    <w:rsid w:val="00C11A03"/>
    <w:rsid w:val="00C12B43"/>
    <w:rsid w:val="00C146CB"/>
    <w:rsid w:val="00C14F6A"/>
    <w:rsid w:val="00C155EB"/>
    <w:rsid w:val="00C16F66"/>
    <w:rsid w:val="00C202BC"/>
    <w:rsid w:val="00C20378"/>
    <w:rsid w:val="00C206E6"/>
    <w:rsid w:val="00C211F9"/>
    <w:rsid w:val="00C23D88"/>
    <w:rsid w:val="00C23FB3"/>
    <w:rsid w:val="00C2406D"/>
    <w:rsid w:val="00C267C8"/>
    <w:rsid w:val="00C26CBC"/>
    <w:rsid w:val="00C342C1"/>
    <w:rsid w:val="00C36AC8"/>
    <w:rsid w:val="00C373B9"/>
    <w:rsid w:val="00C4078F"/>
    <w:rsid w:val="00C4087B"/>
    <w:rsid w:val="00C40D02"/>
    <w:rsid w:val="00C41D33"/>
    <w:rsid w:val="00C41F86"/>
    <w:rsid w:val="00C42801"/>
    <w:rsid w:val="00C43BF2"/>
    <w:rsid w:val="00C5075F"/>
    <w:rsid w:val="00C50BF5"/>
    <w:rsid w:val="00C5104E"/>
    <w:rsid w:val="00C51D52"/>
    <w:rsid w:val="00C528E1"/>
    <w:rsid w:val="00C535C6"/>
    <w:rsid w:val="00C55387"/>
    <w:rsid w:val="00C57FF2"/>
    <w:rsid w:val="00C63E9D"/>
    <w:rsid w:val="00C64CD2"/>
    <w:rsid w:val="00C64E5E"/>
    <w:rsid w:val="00C66970"/>
    <w:rsid w:val="00C70A82"/>
    <w:rsid w:val="00C70CB7"/>
    <w:rsid w:val="00C70D85"/>
    <w:rsid w:val="00C71CF8"/>
    <w:rsid w:val="00C73659"/>
    <w:rsid w:val="00C7461C"/>
    <w:rsid w:val="00C748F8"/>
    <w:rsid w:val="00C74A52"/>
    <w:rsid w:val="00C75E93"/>
    <w:rsid w:val="00C77017"/>
    <w:rsid w:val="00C77019"/>
    <w:rsid w:val="00C779D8"/>
    <w:rsid w:val="00C77C21"/>
    <w:rsid w:val="00C77F4C"/>
    <w:rsid w:val="00C808F2"/>
    <w:rsid w:val="00C83FB0"/>
    <w:rsid w:val="00C84190"/>
    <w:rsid w:val="00C84726"/>
    <w:rsid w:val="00C86994"/>
    <w:rsid w:val="00C9175F"/>
    <w:rsid w:val="00C91AB9"/>
    <w:rsid w:val="00C9204B"/>
    <w:rsid w:val="00C93308"/>
    <w:rsid w:val="00C93EC6"/>
    <w:rsid w:val="00C945EE"/>
    <w:rsid w:val="00C949DF"/>
    <w:rsid w:val="00C96D89"/>
    <w:rsid w:val="00C97C7F"/>
    <w:rsid w:val="00CA0682"/>
    <w:rsid w:val="00CA0C25"/>
    <w:rsid w:val="00CA0F2D"/>
    <w:rsid w:val="00CA2AA2"/>
    <w:rsid w:val="00CA2CB4"/>
    <w:rsid w:val="00CA2FB9"/>
    <w:rsid w:val="00CA4C54"/>
    <w:rsid w:val="00CA5120"/>
    <w:rsid w:val="00CA6C20"/>
    <w:rsid w:val="00CB055A"/>
    <w:rsid w:val="00CB2113"/>
    <w:rsid w:val="00CB3EC6"/>
    <w:rsid w:val="00CB440B"/>
    <w:rsid w:val="00CB490C"/>
    <w:rsid w:val="00CB6B3A"/>
    <w:rsid w:val="00CB7924"/>
    <w:rsid w:val="00CC04B1"/>
    <w:rsid w:val="00CC1E82"/>
    <w:rsid w:val="00CC2431"/>
    <w:rsid w:val="00CC2E52"/>
    <w:rsid w:val="00CC4602"/>
    <w:rsid w:val="00CC4D3C"/>
    <w:rsid w:val="00CC6065"/>
    <w:rsid w:val="00CC6D15"/>
    <w:rsid w:val="00CC7281"/>
    <w:rsid w:val="00CD0AC4"/>
    <w:rsid w:val="00CD2DF9"/>
    <w:rsid w:val="00CD49C6"/>
    <w:rsid w:val="00CD58C3"/>
    <w:rsid w:val="00CD6F6F"/>
    <w:rsid w:val="00CD787A"/>
    <w:rsid w:val="00CD7C8C"/>
    <w:rsid w:val="00CE1030"/>
    <w:rsid w:val="00CE256C"/>
    <w:rsid w:val="00CE2A89"/>
    <w:rsid w:val="00CE4339"/>
    <w:rsid w:val="00CE4B96"/>
    <w:rsid w:val="00CE5214"/>
    <w:rsid w:val="00CE68F0"/>
    <w:rsid w:val="00CE7001"/>
    <w:rsid w:val="00CE73E9"/>
    <w:rsid w:val="00CF103C"/>
    <w:rsid w:val="00CF30A5"/>
    <w:rsid w:val="00CF30D4"/>
    <w:rsid w:val="00CF3798"/>
    <w:rsid w:val="00CF45A1"/>
    <w:rsid w:val="00CF61F7"/>
    <w:rsid w:val="00CF6736"/>
    <w:rsid w:val="00CF679A"/>
    <w:rsid w:val="00CF7DB3"/>
    <w:rsid w:val="00D0086F"/>
    <w:rsid w:val="00D00918"/>
    <w:rsid w:val="00D01180"/>
    <w:rsid w:val="00D013E0"/>
    <w:rsid w:val="00D01878"/>
    <w:rsid w:val="00D02F5F"/>
    <w:rsid w:val="00D04705"/>
    <w:rsid w:val="00D04D49"/>
    <w:rsid w:val="00D05A23"/>
    <w:rsid w:val="00D05BA1"/>
    <w:rsid w:val="00D105A3"/>
    <w:rsid w:val="00D10A14"/>
    <w:rsid w:val="00D131BA"/>
    <w:rsid w:val="00D13736"/>
    <w:rsid w:val="00D15330"/>
    <w:rsid w:val="00D16CE6"/>
    <w:rsid w:val="00D178F2"/>
    <w:rsid w:val="00D17D1B"/>
    <w:rsid w:val="00D23C51"/>
    <w:rsid w:val="00D24059"/>
    <w:rsid w:val="00D25D6F"/>
    <w:rsid w:val="00D262E5"/>
    <w:rsid w:val="00D26AD7"/>
    <w:rsid w:val="00D27A50"/>
    <w:rsid w:val="00D30E05"/>
    <w:rsid w:val="00D3153F"/>
    <w:rsid w:val="00D32429"/>
    <w:rsid w:val="00D3330A"/>
    <w:rsid w:val="00D3402D"/>
    <w:rsid w:val="00D35CB8"/>
    <w:rsid w:val="00D35D11"/>
    <w:rsid w:val="00D364D4"/>
    <w:rsid w:val="00D365E8"/>
    <w:rsid w:val="00D40031"/>
    <w:rsid w:val="00D41B28"/>
    <w:rsid w:val="00D42959"/>
    <w:rsid w:val="00D43AEB"/>
    <w:rsid w:val="00D447B4"/>
    <w:rsid w:val="00D46222"/>
    <w:rsid w:val="00D4623B"/>
    <w:rsid w:val="00D46890"/>
    <w:rsid w:val="00D4728F"/>
    <w:rsid w:val="00D4774E"/>
    <w:rsid w:val="00D47E1D"/>
    <w:rsid w:val="00D50E55"/>
    <w:rsid w:val="00D522CA"/>
    <w:rsid w:val="00D53850"/>
    <w:rsid w:val="00D551BF"/>
    <w:rsid w:val="00D559FB"/>
    <w:rsid w:val="00D55CC5"/>
    <w:rsid w:val="00D60CBD"/>
    <w:rsid w:val="00D60F29"/>
    <w:rsid w:val="00D628DA"/>
    <w:rsid w:val="00D632AB"/>
    <w:rsid w:val="00D637E0"/>
    <w:rsid w:val="00D65628"/>
    <w:rsid w:val="00D662E2"/>
    <w:rsid w:val="00D66565"/>
    <w:rsid w:val="00D66D50"/>
    <w:rsid w:val="00D70665"/>
    <w:rsid w:val="00D724D1"/>
    <w:rsid w:val="00D751EF"/>
    <w:rsid w:val="00D7648D"/>
    <w:rsid w:val="00D771D7"/>
    <w:rsid w:val="00D77256"/>
    <w:rsid w:val="00D7754E"/>
    <w:rsid w:val="00D804D3"/>
    <w:rsid w:val="00D80D26"/>
    <w:rsid w:val="00D81EC5"/>
    <w:rsid w:val="00D82549"/>
    <w:rsid w:val="00D829CB"/>
    <w:rsid w:val="00D82E12"/>
    <w:rsid w:val="00D83129"/>
    <w:rsid w:val="00D84EFA"/>
    <w:rsid w:val="00D85099"/>
    <w:rsid w:val="00D86A79"/>
    <w:rsid w:val="00D871BF"/>
    <w:rsid w:val="00D90814"/>
    <w:rsid w:val="00D90EE8"/>
    <w:rsid w:val="00D913AB"/>
    <w:rsid w:val="00D93D00"/>
    <w:rsid w:val="00DA0CD0"/>
    <w:rsid w:val="00DA1239"/>
    <w:rsid w:val="00DA3228"/>
    <w:rsid w:val="00DA446B"/>
    <w:rsid w:val="00DA5490"/>
    <w:rsid w:val="00DA5BB6"/>
    <w:rsid w:val="00DA626F"/>
    <w:rsid w:val="00DA65D8"/>
    <w:rsid w:val="00DA7B2A"/>
    <w:rsid w:val="00DB06AC"/>
    <w:rsid w:val="00DB434C"/>
    <w:rsid w:val="00DB55D8"/>
    <w:rsid w:val="00DB642C"/>
    <w:rsid w:val="00DB6DFD"/>
    <w:rsid w:val="00DC022F"/>
    <w:rsid w:val="00DC1490"/>
    <w:rsid w:val="00DC1653"/>
    <w:rsid w:val="00DC32FB"/>
    <w:rsid w:val="00DC45CB"/>
    <w:rsid w:val="00DC4AF9"/>
    <w:rsid w:val="00DC6881"/>
    <w:rsid w:val="00DC72CC"/>
    <w:rsid w:val="00DC7889"/>
    <w:rsid w:val="00DC79E8"/>
    <w:rsid w:val="00DC7D27"/>
    <w:rsid w:val="00DD23C6"/>
    <w:rsid w:val="00DD3168"/>
    <w:rsid w:val="00DD3C99"/>
    <w:rsid w:val="00DD428C"/>
    <w:rsid w:val="00DD637F"/>
    <w:rsid w:val="00DD666D"/>
    <w:rsid w:val="00DE05BD"/>
    <w:rsid w:val="00DE09D2"/>
    <w:rsid w:val="00DE0ECB"/>
    <w:rsid w:val="00DE0FDA"/>
    <w:rsid w:val="00DE2690"/>
    <w:rsid w:val="00DE2945"/>
    <w:rsid w:val="00DE419E"/>
    <w:rsid w:val="00DE4542"/>
    <w:rsid w:val="00DE4C1D"/>
    <w:rsid w:val="00DE4DEE"/>
    <w:rsid w:val="00DE4FFF"/>
    <w:rsid w:val="00DE50C3"/>
    <w:rsid w:val="00DE513D"/>
    <w:rsid w:val="00DE56F0"/>
    <w:rsid w:val="00DE710B"/>
    <w:rsid w:val="00DE7DAC"/>
    <w:rsid w:val="00DE7EB4"/>
    <w:rsid w:val="00DF074E"/>
    <w:rsid w:val="00DF0CE4"/>
    <w:rsid w:val="00DF1C49"/>
    <w:rsid w:val="00DF2A1A"/>
    <w:rsid w:val="00DF49A6"/>
    <w:rsid w:val="00DF55AD"/>
    <w:rsid w:val="00DF5C3A"/>
    <w:rsid w:val="00DF64F2"/>
    <w:rsid w:val="00DF68BE"/>
    <w:rsid w:val="00DF6C9B"/>
    <w:rsid w:val="00E000ED"/>
    <w:rsid w:val="00E005DA"/>
    <w:rsid w:val="00E01AE6"/>
    <w:rsid w:val="00E03B80"/>
    <w:rsid w:val="00E04200"/>
    <w:rsid w:val="00E048D5"/>
    <w:rsid w:val="00E04FC4"/>
    <w:rsid w:val="00E05854"/>
    <w:rsid w:val="00E0668A"/>
    <w:rsid w:val="00E0765A"/>
    <w:rsid w:val="00E07859"/>
    <w:rsid w:val="00E1106E"/>
    <w:rsid w:val="00E123E1"/>
    <w:rsid w:val="00E1291D"/>
    <w:rsid w:val="00E12DDE"/>
    <w:rsid w:val="00E13EA4"/>
    <w:rsid w:val="00E14F99"/>
    <w:rsid w:val="00E160A7"/>
    <w:rsid w:val="00E163D5"/>
    <w:rsid w:val="00E16781"/>
    <w:rsid w:val="00E17D07"/>
    <w:rsid w:val="00E21065"/>
    <w:rsid w:val="00E25CC0"/>
    <w:rsid w:val="00E27482"/>
    <w:rsid w:val="00E30090"/>
    <w:rsid w:val="00E32218"/>
    <w:rsid w:val="00E322FE"/>
    <w:rsid w:val="00E346A2"/>
    <w:rsid w:val="00E365BC"/>
    <w:rsid w:val="00E36751"/>
    <w:rsid w:val="00E3733E"/>
    <w:rsid w:val="00E373BC"/>
    <w:rsid w:val="00E375C6"/>
    <w:rsid w:val="00E37937"/>
    <w:rsid w:val="00E40AD7"/>
    <w:rsid w:val="00E43194"/>
    <w:rsid w:val="00E43237"/>
    <w:rsid w:val="00E434C3"/>
    <w:rsid w:val="00E43C34"/>
    <w:rsid w:val="00E4466D"/>
    <w:rsid w:val="00E451D1"/>
    <w:rsid w:val="00E46574"/>
    <w:rsid w:val="00E50067"/>
    <w:rsid w:val="00E51452"/>
    <w:rsid w:val="00E519CF"/>
    <w:rsid w:val="00E53A25"/>
    <w:rsid w:val="00E54090"/>
    <w:rsid w:val="00E549B4"/>
    <w:rsid w:val="00E54CCF"/>
    <w:rsid w:val="00E54F80"/>
    <w:rsid w:val="00E550A5"/>
    <w:rsid w:val="00E551BB"/>
    <w:rsid w:val="00E55220"/>
    <w:rsid w:val="00E565B1"/>
    <w:rsid w:val="00E56CCB"/>
    <w:rsid w:val="00E57B03"/>
    <w:rsid w:val="00E600B1"/>
    <w:rsid w:val="00E6052C"/>
    <w:rsid w:val="00E6311B"/>
    <w:rsid w:val="00E63C97"/>
    <w:rsid w:val="00E63E10"/>
    <w:rsid w:val="00E6417B"/>
    <w:rsid w:val="00E642D5"/>
    <w:rsid w:val="00E644FB"/>
    <w:rsid w:val="00E64975"/>
    <w:rsid w:val="00E67F2E"/>
    <w:rsid w:val="00E70B8B"/>
    <w:rsid w:val="00E7176F"/>
    <w:rsid w:val="00E7198E"/>
    <w:rsid w:val="00E7222E"/>
    <w:rsid w:val="00E72E36"/>
    <w:rsid w:val="00E734A2"/>
    <w:rsid w:val="00E73A86"/>
    <w:rsid w:val="00E73C3F"/>
    <w:rsid w:val="00E73F10"/>
    <w:rsid w:val="00E751B3"/>
    <w:rsid w:val="00E75913"/>
    <w:rsid w:val="00E75FF2"/>
    <w:rsid w:val="00E7676D"/>
    <w:rsid w:val="00E76D12"/>
    <w:rsid w:val="00E77073"/>
    <w:rsid w:val="00E7725D"/>
    <w:rsid w:val="00E77E85"/>
    <w:rsid w:val="00E8000A"/>
    <w:rsid w:val="00E80454"/>
    <w:rsid w:val="00E81A81"/>
    <w:rsid w:val="00E81FC3"/>
    <w:rsid w:val="00E824E0"/>
    <w:rsid w:val="00E82CEB"/>
    <w:rsid w:val="00E83CD3"/>
    <w:rsid w:val="00E84C18"/>
    <w:rsid w:val="00E912F8"/>
    <w:rsid w:val="00E91E3B"/>
    <w:rsid w:val="00E9362F"/>
    <w:rsid w:val="00E94593"/>
    <w:rsid w:val="00E94E1A"/>
    <w:rsid w:val="00E96B03"/>
    <w:rsid w:val="00E97061"/>
    <w:rsid w:val="00E970A8"/>
    <w:rsid w:val="00E97412"/>
    <w:rsid w:val="00EA0B9A"/>
    <w:rsid w:val="00EA0F8A"/>
    <w:rsid w:val="00EA2CBE"/>
    <w:rsid w:val="00EA41D4"/>
    <w:rsid w:val="00EA4959"/>
    <w:rsid w:val="00EA6673"/>
    <w:rsid w:val="00EA6C58"/>
    <w:rsid w:val="00EA6D72"/>
    <w:rsid w:val="00EA6EFD"/>
    <w:rsid w:val="00EA6FF7"/>
    <w:rsid w:val="00EA7DCB"/>
    <w:rsid w:val="00EB025F"/>
    <w:rsid w:val="00EB1EB8"/>
    <w:rsid w:val="00EB2306"/>
    <w:rsid w:val="00EB2653"/>
    <w:rsid w:val="00EB26B8"/>
    <w:rsid w:val="00EB3619"/>
    <w:rsid w:val="00EB37F0"/>
    <w:rsid w:val="00EB521A"/>
    <w:rsid w:val="00EB5690"/>
    <w:rsid w:val="00EB5E72"/>
    <w:rsid w:val="00EB77D7"/>
    <w:rsid w:val="00EB7F72"/>
    <w:rsid w:val="00EC0201"/>
    <w:rsid w:val="00EC116D"/>
    <w:rsid w:val="00EC1722"/>
    <w:rsid w:val="00EC1A6A"/>
    <w:rsid w:val="00EC2B65"/>
    <w:rsid w:val="00EC4FB7"/>
    <w:rsid w:val="00EC59A0"/>
    <w:rsid w:val="00EC5E3B"/>
    <w:rsid w:val="00ED0A43"/>
    <w:rsid w:val="00ED19FD"/>
    <w:rsid w:val="00ED24AC"/>
    <w:rsid w:val="00ED2665"/>
    <w:rsid w:val="00ED2F7F"/>
    <w:rsid w:val="00ED50DD"/>
    <w:rsid w:val="00ED5902"/>
    <w:rsid w:val="00EE033D"/>
    <w:rsid w:val="00EE05CE"/>
    <w:rsid w:val="00EE0B86"/>
    <w:rsid w:val="00EE235D"/>
    <w:rsid w:val="00EE378A"/>
    <w:rsid w:val="00EE549E"/>
    <w:rsid w:val="00EE54ED"/>
    <w:rsid w:val="00EE64C2"/>
    <w:rsid w:val="00EE705A"/>
    <w:rsid w:val="00EE74ED"/>
    <w:rsid w:val="00EE7E02"/>
    <w:rsid w:val="00EE7F03"/>
    <w:rsid w:val="00EF0D64"/>
    <w:rsid w:val="00EF43A3"/>
    <w:rsid w:val="00EF47AA"/>
    <w:rsid w:val="00EF47C1"/>
    <w:rsid w:val="00EF4803"/>
    <w:rsid w:val="00EF4ADD"/>
    <w:rsid w:val="00EF5508"/>
    <w:rsid w:val="00EF5F63"/>
    <w:rsid w:val="00EF6AB9"/>
    <w:rsid w:val="00EF6D8B"/>
    <w:rsid w:val="00EF6E77"/>
    <w:rsid w:val="00EF7159"/>
    <w:rsid w:val="00EF71F8"/>
    <w:rsid w:val="00EF7842"/>
    <w:rsid w:val="00F02AD3"/>
    <w:rsid w:val="00F030F7"/>
    <w:rsid w:val="00F05769"/>
    <w:rsid w:val="00F063DB"/>
    <w:rsid w:val="00F10222"/>
    <w:rsid w:val="00F13642"/>
    <w:rsid w:val="00F13662"/>
    <w:rsid w:val="00F137B5"/>
    <w:rsid w:val="00F13E8C"/>
    <w:rsid w:val="00F14098"/>
    <w:rsid w:val="00F147AC"/>
    <w:rsid w:val="00F15CCD"/>
    <w:rsid w:val="00F168CE"/>
    <w:rsid w:val="00F17463"/>
    <w:rsid w:val="00F26330"/>
    <w:rsid w:val="00F26A02"/>
    <w:rsid w:val="00F26C64"/>
    <w:rsid w:val="00F2794B"/>
    <w:rsid w:val="00F27AE6"/>
    <w:rsid w:val="00F30741"/>
    <w:rsid w:val="00F311B9"/>
    <w:rsid w:val="00F32B36"/>
    <w:rsid w:val="00F33DE3"/>
    <w:rsid w:val="00F345D6"/>
    <w:rsid w:val="00F351CB"/>
    <w:rsid w:val="00F35E09"/>
    <w:rsid w:val="00F362E2"/>
    <w:rsid w:val="00F373E6"/>
    <w:rsid w:val="00F41283"/>
    <w:rsid w:val="00F42039"/>
    <w:rsid w:val="00F43DA3"/>
    <w:rsid w:val="00F44F59"/>
    <w:rsid w:val="00F452D3"/>
    <w:rsid w:val="00F455B7"/>
    <w:rsid w:val="00F45B20"/>
    <w:rsid w:val="00F468FC"/>
    <w:rsid w:val="00F46968"/>
    <w:rsid w:val="00F476A5"/>
    <w:rsid w:val="00F47C0F"/>
    <w:rsid w:val="00F47E52"/>
    <w:rsid w:val="00F501DF"/>
    <w:rsid w:val="00F51595"/>
    <w:rsid w:val="00F53D7C"/>
    <w:rsid w:val="00F53EA6"/>
    <w:rsid w:val="00F53FD8"/>
    <w:rsid w:val="00F546B2"/>
    <w:rsid w:val="00F54C32"/>
    <w:rsid w:val="00F54F47"/>
    <w:rsid w:val="00F550C2"/>
    <w:rsid w:val="00F55E87"/>
    <w:rsid w:val="00F56F8F"/>
    <w:rsid w:val="00F600E5"/>
    <w:rsid w:val="00F602BC"/>
    <w:rsid w:val="00F622C8"/>
    <w:rsid w:val="00F64A69"/>
    <w:rsid w:val="00F65193"/>
    <w:rsid w:val="00F662F2"/>
    <w:rsid w:val="00F70189"/>
    <w:rsid w:val="00F70D0E"/>
    <w:rsid w:val="00F72326"/>
    <w:rsid w:val="00F735D3"/>
    <w:rsid w:val="00F741E4"/>
    <w:rsid w:val="00F7430F"/>
    <w:rsid w:val="00F749AD"/>
    <w:rsid w:val="00F81C80"/>
    <w:rsid w:val="00F82733"/>
    <w:rsid w:val="00F82927"/>
    <w:rsid w:val="00F83114"/>
    <w:rsid w:val="00F842F0"/>
    <w:rsid w:val="00F84B4F"/>
    <w:rsid w:val="00F84CB3"/>
    <w:rsid w:val="00F8551A"/>
    <w:rsid w:val="00F85575"/>
    <w:rsid w:val="00F85D86"/>
    <w:rsid w:val="00F85F4D"/>
    <w:rsid w:val="00F8761E"/>
    <w:rsid w:val="00F90499"/>
    <w:rsid w:val="00F91F38"/>
    <w:rsid w:val="00F91F3E"/>
    <w:rsid w:val="00F929A8"/>
    <w:rsid w:val="00F936D7"/>
    <w:rsid w:val="00F94B8F"/>
    <w:rsid w:val="00F95820"/>
    <w:rsid w:val="00FA0941"/>
    <w:rsid w:val="00FA0C62"/>
    <w:rsid w:val="00FA2DEF"/>
    <w:rsid w:val="00FA2ECD"/>
    <w:rsid w:val="00FA3C00"/>
    <w:rsid w:val="00FA4F98"/>
    <w:rsid w:val="00FA551F"/>
    <w:rsid w:val="00FA65E0"/>
    <w:rsid w:val="00FA6C01"/>
    <w:rsid w:val="00FA78BC"/>
    <w:rsid w:val="00FB5479"/>
    <w:rsid w:val="00FB5BBC"/>
    <w:rsid w:val="00FB5E2C"/>
    <w:rsid w:val="00FB7338"/>
    <w:rsid w:val="00FC0A89"/>
    <w:rsid w:val="00FC1F28"/>
    <w:rsid w:val="00FC2FDD"/>
    <w:rsid w:val="00FC356D"/>
    <w:rsid w:val="00FC4235"/>
    <w:rsid w:val="00FC50D9"/>
    <w:rsid w:val="00FC6F9C"/>
    <w:rsid w:val="00FD0B7F"/>
    <w:rsid w:val="00FD0C15"/>
    <w:rsid w:val="00FD2318"/>
    <w:rsid w:val="00FD27EA"/>
    <w:rsid w:val="00FD2C11"/>
    <w:rsid w:val="00FD3175"/>
    <w:rsid w:val="00FD35FD"/>
    <w:rsid w:val="00FD4195"/>
    <w:rsid w:val="00FD42BF"/>
    <w:rsid w:val="00FD45F9"/>
    <w:rsid w:val="00FD54D7"/>
    <w:rsid w:val="00FD557E"/>
    <w:rsid w:val="00FD649A"/>
    <w:rsid w:val="00FD6757"/>
    <w:rsid w:val="00FD727D"/>
    <w:rsid w:val="00FD7935"/>
    <w:rsid w:val="00FD7C35"/>
    <w:rsid w:val="00FE084C"/>
    <w:rsid w:val="00FE1B82"/>
    <w:rsid w:val="00FE41A6"/>
    <w:rsid w:val="00FE5355"/>
    <w:rsid w:val="00FE545B"/>
    <w:rsid w:val="00FF07FC"/>
    <w:rsid w:val="00FF0AA0"/>
    <w:rsid w:val="00FF0D25"/>
    <w:rsid w:val="00FF2139"/>
    <w:rsid w:val="00FF27D0"/>
    <w:rsid w:val="00FF31EC"/>
    <w:rsid w:val="00FF47C7"/>
    <w:rsid w:val="00FF48F2"/>
    <w:rsid w:val="00FF5E3D"/>
    <w:rsid w:val="00FF6172"/>
    <w:rsid w:val="00FF6C49"/>
    <w:rsid w:val="00FF7753"/>
    <w:rsid w:val="00FF7FF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02DCB452"/>
  <w15:docId w15:val="{45090F21-B6CD-4C82-B121-BB2227AA2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6702"/>
    <w:pPr>
      <w:spacing w:after="200" w:line="276" w:lineRule="auto"/>
    </w:pPr>
    <w:rPr>
      <w:sz w:val="22"/>
      <w:szCs w:val="22"/>
      <w:lang w:eastAsia="en-US" w:bidi="en-US"/>
    </w:rPr>
  </w:style>
  <w:style w:type="paragraph" w:styleId="Heading1">
    <w:name w:val="heading 1"/>
    <w:basedOn w:val="Normal"/>
    <w:next w:val="Normal"/>
    <w:link w:val="Heading1Char"/>
    <w:qFormat/>
    <w:rsid w:val="006236D0"/>
    <w:pPr>
      <w:numPr>
        <w:numId w:val="6"/>
      </w:numPr>
      <w:spacing w:before="480" w:after="0"/>
      <w:contextualSpacing/>
      <w:outlineLvl w:val="0"/>
    </w:pPr>
    <w:rPr>
      <w:rFonts w:ascii="Arial" w:hAnsi="Arial"/>
      <w:b/>
      <w:bCs/>
      <w:sz w:val="32"/>
      <w:szCs w:val="28"/>
    </w:rPr>
  </w:style>
  <w:style w:type="paragraph" w:styleId="Heading2">
    <w:name w:val="heading 2"/>
    <w:basedOn w:val="Normal"/>
    <w:next w:val="Normal"/>
    <w:link w:val="Heading2Char"/>
    <w:unhideWhenUsed/>
    <w:qFormat/>
    <w:rsid w:val="001E6C80"/>
    <w:pPr>
      <w:numPr>
        <w:ilvl w:val="1"/>
        <w:numId w:val="6"/>
      </w:numPr>
      <w:spacing w:before="200" w:after="0"/>
      <w:ind w:left="567"/>
      <w:outlineLvl w:val="1"/>
    </w:pPr>
    <w:rPr>
      <w:rFonts w:ascii="Arial" w:hAnsi="Arial"/>
      <w:b/>
      <w:bCs/>
      <w:sz w:val="28"/>
      <w:szCs w:val="26"/>
    </w:rPr>
  </w:style>
  <w:style w:type="paragraph" w:styleId="Heading3">
    <w:name w:val="heading 3"/>
    <w:basedOn w:val="Normal"/>
    <w:next w:val="Normal"/>
    <w:link w:val="Heading3Char"/>
    <w:unhideWhenUsed/>
    <w:qFormat/>
    <w:rsid w:val="006236D0"/>
    <w:pPr>
      <w:numPr>
        <w:ilvl w:val="2"/>
        <w:numId w:val="6"/>
      </w:numPr>
      <w:spacing w:before="240" w:after="240" w:line="360" w:lineRule="auto"/>
      <w:ind w:left="3839"/>
      <w:outlineLvl w:val="2"/>
    </w:pPr>
    <w:rPr>
      <w:rFonts w:ascii="Arial" w:hAnsi="Arial"/>
      <w:b/>
      <w:bCs/>
    </w:rPr>
  </w:style>
  <w:style w:type="paragraph" w:styleId="Heading4">
    <w:name w:val="heading 4"/>
    <w:basedOn w:val="Normal"/>
    <w:next w:val="Normal"/>
    <w:link w:val="Heading4Char"/>
    <w:unhideWhenUsed/>
    <w:qFormat/>
    <w:rsid w:val="00844B64"/>
    <w:pPr>
      <w:numPr>
        <w:ilvl w:val="3"/>
        <w:numId w:val="6"/>
      </w:numPr>
      <w:spacing w:before="200" w:after="0"/>
      <w:outlineLvl w:val="3"/>
    </w:pPr>
    <w:rPr>
      <w:rFonts w:ascii="Cambria" w:hAnsi="Cambria"/>
      <w:b/>
      <w:bCs/>
      <w:i/>
      <w:iCs/>
    </w:rPr>
  </w:style>
  <w:style w:type="paragraph" w:styleId="Heading5">
    <w:name w:val="heading 5"/>
    <w:basedOn w:val="Normal"/>
    <w:next w:val="Normal"/>
    <w:link w:val="Heading5Char"/>
    <w:semiHidden/>
    <w:unhideWhenUsed/>
    <w:qFormat/>
    <w:rsid w:val="00844B64"/>
    <w:pPr>
      <w:numPr>
        <w:ilvl w:val="4"/>
        <w:numId w:val="6"/>
      </w:numPr>
      <w:spacing w:before="200" w:after="0"/>
      <w:outlineLvl w:val="4"/>
    </w:pPr>
    <w:rPr>
      <w:rFonts w:ascii="Cambria" w:hAnsi="Cambria"/>
      <w:b/>
      <w:bCs/>
      <w:color w:val="7F7F7F"/>
    </w:rPr>
  </w:style>
  <w:style w:type="paragraph" w:styleId="Heading6">
    <w:name w:val="heading 6"/>
    <w:basedOn w:val="Normal"/>
    <w:next w:val="Normal"/>
    <w:link w:val="Heading6Char"/>
    <w:semiHidden/>
    <w:unhideWhenUsed/>
    <w:qFormat/>
    <w:rsid w:val="00844B64"/>
    <w:pPr>
      <w:numPr>
        <w:ilvl w:val="5"/>
        <w:numId w:val="6"/>
      </w:numPr>
      <w:spacing w:after="0" w:line="271" w:lineRule="auto"/>
      <w:outlineLvl w:val="5"/>
    </w:pPr>
    <w:rPr>
      <w:rFonts w:ascii="Cambria" w:hAnsi="Cambria"/>
      <w:b/>
      <w:bCs/>
      <w:i/>
      <w:iCs/>
      <w:color w:val="7F7F7F"/>
    </w:rPr>
  </w:style>
  <w:style w:type="paragraph" w:styleId="Heading7">
    <w:name w:val="heading 7"/>
    <w:basedOn w:val="Normal"/>
    <w:next w:val="Normal"/>
    <w:link w:val="Heading7Char"/>
    <w:semiHidden/>
    <w:unhideWhenUsed/>
    <w:qFormat/>
    <w:rsid w:val="00844B64"/>
    <w:pPr>
      <w:numPr>
        <w:ilvl w:val="6"/>
        <w:numId w:val="6"/>
      </w:numPr>
      <w:spacing w:after="0"/>
      <w:outlineLvl w:val="6"/>
    </w:pPr>
    <w:rPr>
      <w:rFonts w:ascii="Cambria" w:hAnsi="Cambria"/>
      <w:i/>
      <w:iCs/>
    </w:rPr>
  </w:style>
  <w:style w:type="paragraph" w:styleId="Heading8">
    <w:name w:val="heading 8"/>
    <w:basedOn w:val="Normal"/>
    <w:next w:val="Normal"/>
    <w:link w:val="Heading8Char"/>
    <w:semiHidden/>
    <w:unhideWhenUsed/>
    <w:qFormat/>
    <w:rsid w:val="00844B64"/>
    <w:pPr>
      <w:numPr>
        <w:ilvl w:val="7"/>
        <w:numId w:val="6"/>
      </w:numPr>
      <w:spacing w:after="0"/>
      <w:outlineLvl w:val="7"/>
    </w:pPr>
    <w:rPr>
      <w:rFonts w:ascii="Cambria" w:hAnsi="Cambria"/>
      <w:sz w:val="20"/>
      <w:szCs w:val="20"/>
    </w:rPr>
  </w:style>
  <w:style w:type="paragraph" w:styleId="Heading9">
    <w:name w:val="heading 9"/>
    <w:basedOn w:val="Normal"/>
    <w:next w:val="Normal"/>
    <w:link w:val="Heading9Char"/>
    <w:semiHidden/>
    <w:unhideWhenUsed/>
    <w:qFormat/>
    <w:rsid w:val="00844B64"/>
    <w:pPr>
      <w:numPr>
        <w:ilvl w:val="8"/>
        <w:numId w:val="6"/>
      </w:numPr>
      <w:spacing w:after="0"/>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uiPriority w:val="4"/>
    <w:qFormat/>
    <w:rsid w:val="00B5468A"/>
    <w:pPr>
      <w:spacing w:before="240" w:after="240"/>
    </w:pPr>
    <w:rPr>
      <w:rFonts w:ascii="Arial" w:hAnsi="Arial"/>
      <w:sz w:val="24"/>
      <w:szCs w:val="24"/>
      <w:lang w:eastAsia="en-GB" w:bidi="ar-SA"/>
    </w:rPr>
  </w:style>
  <w:style w:type="character" w:styleId="CommentReference">
    <w:name w:val="annotation reference"/>
    <w:rsid w:val="00B5468A"/>
    <w:rPr>
      <w:sz w:val="16"/>
      <w:szCs w:val="16"/>
    </w:rPr>
  </w:style>
  <w:style w:type="paragraph" w:styleId="CommentText">
    <w:name w:val="annotation text"/>
    <w:basedOn w:val="Normal"/>
    <w:link w:val="CommentTextChar"/>
    <w:rsid w:val="00B5468A"/>
    <w:pPr>
      <w:spacing w:after="0" w:line="240" w:lineRule="auto"/>
    </w:pPr>
    <w:rPr>
      <w:rFonts w:ascii="Times New Roman" w:hAnsi="Times New Roman"/>
      <w:sz w:val="20"/>
      <w:szCs w:val="20"/>
      <w:lang w:eastAsia="en-GB" w:bidi="ar-SA"/>
    </w:rPr>
  </w:style>
  <w:style w:type="paragraph" w:styleId="CommentSubject">
    <w:name w:val="annotation subject"/>
    <w:basedOn w:val="Normal"/>
    <w:next w:val="CommentText"/>
    <w:semiHidden/>
    <w:rsid w:val="00AD6702"/>
    <w:rPr>
      <w:b/>
      <w:bCs/>
      <w:sz w:val="20"/>
      <w:szCs w:val="20"/>
    </w:rPr>
  </w:style>
  <w:style w:type="paragraph" w:styleId="BalloonText">
    <w:name w:val="Balloon Text"/>
    <w:basedOn w:val="Normal"/>
    <w:semiHidden/>
    <w:rsid w:val="00CF61F7"/>
    <w:rPr>
      <w:rFonts w:ascii="Tahoma" w:hAnsi="Tahoma" w:cs="Tahoma"/>
      <w:sz w:val="16"/>
      <w:szCs w:val="16"/>
    </w:rPr>
  </w:style>
  <w:style w:type="character" w:customStyle="1" w:styleId="CommentTextChar">
    <w:name w:val="Comment Text Char"/>
    <w:basedOn w:val="DefaultParagraphFont"/>
    <w:link w:val="CommentText"/>
    <w:rsid w:val="00B5468A"/>
    <w:rPr>
      <w:rFonts w:ascii="Times New Roman" w:hAnsi="Times New Roman"/>
    </w:rPr>
  </w:style>
  <w:style w:type="character" w:styleId="Hyperlink">
    <w:name w:val="Hyperlink"/>
    <w:uiPriority w:val="99"/>
    <w:rsid w:val="00B5468A"/>
    <w:rPr>
      <w:color w:val="0000FF"/>
      <w:u w:val="single"/>
    </w:rPr>
  </w:style>
  <w:style w:type="paragraph" w:customStyle="1" w:styleId="NICEnormal">
    <w:name w:val="NICE normal"/>
    <w:link w:val="NICEnormalChar"/>
    <w:rsid w:val="00B5468A"/>
    <w:pPr>
      <w:spacing w:after="240" w:line="360" w:lineRule="auto"/>
    </w:pPr>
    <w:rPr>
      <w:rFonts w:ascii="Arial" w:hAnsi="Arial"/>
      <w:sz w:val="24"/>
      <w:szCs w:val="24"/>
      <w:lang w:val="en-US" w:eastAsia="en-US"/>
    </w:rPr>
  </w:style>
  <w:style w:type="character" w:customStyle="1" w:styleId="NICEnormalChar">
    <w:name w:val="NICE normal Char"/>
    <w:link w:val="NICEnormal"/>
    <w:rsid w:val="00B5468A"/>
    <w:rPr>
      <w:rFonts w:ascii="Arial" w:hAnsi="Arial"/>
      <w:sz w:val="24"/>
      <w:szCs w:val="24"/>
      <w:lang w:val="en-US" w:eastAsia="en-US"/>
    </w:rPr>
  </w:style>
  <w:style w:type="paragraph" w:customStyle="1" w:styleId="ITTMainHeading">
    <w:name w:val="ITT Main Heading"/>
    <w:basedOn w:val="Normal"/>
    <w:qFormat/>
    <w:rsid w:val="004D75B9"/>
    <w:pPr>
      <w:jc w:val="center"/>
    </w:pPr>
    <w:rPr>
      <w:rFonts w:ascii="Arial" w:hAnsi="Arial" w:cs="Arial"/>
      <w:b/>
      <w:sz w:val="36"/>
      <w:szCs w:val="36"/>
    </w:rPr>
  </w:style>
  <w:style w:type="paragraph" w:customStyle="1" w:styleId="ITTMainHeading2">
    <w:name w:val="ITT Main Heading 2"/>
    <w:basedOn w:val="Normal"/>
    <w:qFormat/>
    <w:rsid w:val="004D75B9"/>
    <w:pPr>
      <w:jc w:val="center"/>
    </w:pPr>
    <w:rPr>
      <w:rFonts w:ascii="Arial" w:hAnsi="Arial" w:cs="Arial"/>
      <w:b/>
      <w:sz w:val="32"/>
      <w:szCs w:val="32"/>
    </w:rPr>
  </w:style>
  <w:style w:type="paragraph" w:styleId="TOC1">
    <w:name w:val="toc 1"/>
    <w:basedOn w:val="Normal"/>
    <w:next w:val="Normal"/>
    <w:autoRedefine/>
    <w:uiPriority w:val="39"/>
    <w:rsid w:val="008F680A"/>
    <w:pPr>
      <w:tabs>
        <w:tab w:val="left" w:pos="440"/>
        <w:tab w:val="right" w:leader="dot" w:pos="9017"/>
      </w:tabs>
      <w:spacing w:after="100"/>
    </w:pPr>
  </w:style>
  <w:style w:type="table" w:styleId="TableGrid">
    <w:name w:val="Table Grid"/>
    <w:basedOn w:val="TableNormal"/>
    <w:rsid w:val="00357C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2">
    <w:name w:val="toc 2"/>
    <w:basedOn w:val="Normal"/>
    <w:next w:val="Normal"/>
    <w:autoRedefine/>
    <w:uiPriority w:val="39"/>
    <w:rsid w:val="004D75B9"/>
    <w:pPr>
      <w:spacing w:after="100"/>
      <w:ind w:left="220"/>
    </w:pPr>
  </w:style>
  <w:style w:type="character" w:customStyle="1" w:styleId="Heading4Char">
    <w:name w:val="Heading 4 Char"/>
    <w:basedOn w:val="DefaultParagraphFont"/>
    <w:link w:val="Heading4"/>
    <w:rsid w:val="00844B64"/>
    <w:rPr>
      <w:rFonts w:ascii="Cambria" w:hAnsi="Cambria"/>
      <w:b/>
      <w:bCs/>
      <w:i/>
      <w:iCs/>
      <w:sz w:val="22"/>
      <w:szCs w:val="22"/>
      <w:lang w:eastAsia="en-US" w:bidi="en-US"/>
    </w:rPr>
  </w:style>
  <w:style w:type="paragraph" w:styleId="Header">
    <w:name w:val="header"/>
    <w:basedOn w:val="Normal"/>
    <w:link w:val="HeaderChar"/>
    <w:rsid w:val="004D75B9"/>
    <w:pPr>
      <w:tabs>
        <w:tab w:val="center" w:pos="4513"/>
        <w:tab w:val="right" w:pos="9026"/>
      </w:tabs>
      <w:spacing w:after="0" w:line="240" w:lineRule="auto"/>
    </w:pPr>
  </w:style>
  <w:style w:type="character" w:customStyle="1" w:styleId="HeaderChar">
    <w:name w:val="Header Char"/>
    <w:basedOn w:val="DefaultParagraphFont"/>
    <w:link w:val="Header"/>
    <w:rsid w:val="004D75B9"/>
    <w:rPr>
      <w:sz w:val="22"/>
      <w:szCs w:val="22"/>
      <w:lang w:val="en-US" w:eastAsia="en-US" w:bidi="en-US"/>
    </w:rPr>
  </w:style>
  <w:style w:type="character" w:customStyle="1" w:styleId="Heading3Char">
    <w:name w:val="Heading 3 Char"/>
    <w:basedOn w:val="DefaultParagraphFont"/>
    <w:link w:val="Heading3"/>
    <w:rsid w:val="006236D0"/>
    <w:rPr>
      <w:rFonts w:ascii="Arial" w:hAnsi="Arial"/>
      <w:b/>
      <w:bCs/>
      <w:sz w:val="22"/>
      <w:szCs w:val="22"/>
      <w:lang w:eastAsia="en-US" w:bidi="en-US"/>
    </w:rPr>
  </w:style>
  <w:style w:type="paragraph" w:styleId="Footer">
    <w:name w:val="footer"/>
    <w:basedOn w:val="Normal"/>
    <w:link w:val="FooterChar"/>
    <w:uiPriority w:val="99"/>
    <w:rsid w:val="004D75B9"/>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5B9"/>
    <w:rPr>
      <w:sz w:val="22"/>
      <w:szCs w:val="22"/>
      <w:lang w:val="en-US" w:eastAsia="en-US" w:bidi="en-US"/>
    </w:rPr>
  </w:style>
  <w:style w:type="paragraph" w:styleId="DocumentMap">
    <w:name w:val="Document Map"/>
    <w:basedOn w:val="Normal"/>
    <w:semiHidden/>
    <w:rsid w:val="00341292"/>
    <w:pPr>
      <w:shd w:val="clear" w:color="auto" w:fill="000080"/>
    </w:pPr>
    <w:rPr>
      <w:rFonts w:ascii="Tahoma" w:hAnsi="Tahoma" w:cs="Tahoma"/>
      <w:sz w:val="20"/>
      <w:szCs w:val="20"/>
    </w:rPr>
  </w:style>
  <w:style w:type="paragraph" w:styleId="FootnoteText">
    <w:name w:val="footnote text"/>
    <w:basedOn w:val="Normal"/>
    <w:link w:val="FootnoteTextChar"/>
    <w:unhideWhenUsed/>
    <w:rsid w:val="009F0CB8"/>
    <w:pPr>
      <w:spacing w:before="120" w:after="120"/>
    </w:pPr>
    <w:rPr>
      <w:rFonts w:ascii="Arial" w:eastAsia="Times" w:hAnsi="Arial"/>
      <w:sz w:val="20"/>
      <w:szCs w:val="20"/>
      <w:lang w:eastAsia="en-GB"/>
    </w:rPr>
  </w:style>
  <w:style w:type="character" w:customStyle="1" w:styleId="FootnoteTextChar">
    <w:name w:val="Footnote Text Char"/>
    <w:basedOn w:val="DefaultParagraphFont"/>
    <w:link w:val="FootnoteText"/>
    <w:rsid w:val="009F0CB8"/>
    <w:rPr>
      <w:rFonts w:ascii="Arial" w:eastAsia="Times" w:hAnsi="Arial"/>
    </w:rPr>
  </w:style>
  <w:style w:type="character" w:styleId="FootnoteReference">
    <w:name w:val="footnote reference"/>
    <w:basedOn w:val="DefaultParagraphFont"/>
    <w:unhideWhenUsed/>
    <w:rsid w:val="009F0CB8"/>
    <w:rPr>
      <w:vertAlign w:val="superscript"/>
    </w:rPr>
  </w:style>
  <w:style w:type="character" w:customStyle="1" w:styleId="Heading1Char">
    <w:name w:val="Heading 1 Char"/>
    <w:basedOn w:val="DefaultParagraphFont"/>
    <w:link w:val="Heading1"/>
    <w:rsid w:val="006236D0"/>
    <w:rPr>
      <w:rFonts w:ascii="Arial" w:hAnsi="Arial"/>
      <w:b/>
      <w:bCs/>
      <w:sz w:val="32"/>
      <w:szCs w:val="28"/>
      <w:lang w:eastAsia="en-US" w:bidi="en-US"/>
    </w:rPr>
  </w:style>
  <w:style w:type="character" w:customStyle="1" w:styleId="Heading5Char">
    <w:name w:val="Heading 5 Char"/>
    <w:basedOn w:val="DefaultParagraphFont"/>
    <w:link w:val="Heading5"/>
    <w:semiHidden/>
    <w:rsid w:val="00844B64"/>
    <w:rPr>
      <w:rFonts w:ascii="Cambria" w:hAnsi="Cambria"/>
      <w:b/>
      <w:bCs/>
      <w:color w:val="7F7F7F"/>
      <w:sz w:val="22"/>
      <w:szCs w:val="22"/>
      <w:lang w:eastAsia="en-US" w:bidi="en-US"/>
    </w:rPr>
  </w:style>
  <w:style w:type="character" w:customStyle="1" w:styleId="Heading6Char">
    <w:name w:val="Heading 6 Char"/>
    <w:basedOn w:val="DefaultParagraphFont"/>
    <w:link w:val="Heading6"/>
    <w:semiHidden/>
    <w:rsid w:val="00844B64"/>
    <w:rPr>
      <w:rFonts w:ascii="Cambria" w:hAnsi="Cambria"/>
      <w:b/>
      <w:bCs/>
      <w:i/>
      <w:iCs/>
      <w:color w:val="7F7F7F"/>
      <w:sz w:val="22"/>
      <w:szCs w:val="22"/>
      <w:lang w:eastAsia="en-US" w:bidi="en-US"/>
    </w:rPr>
  </w:style>
  <w:style w:type="character" w:customStyle="1" w:styleId="Heading7Char">
    <w:name w:val="Heading 7 Char"/>
    <w:basedOn w:val="DefaultParagraphFont"/>
    <w:link w:val="Heading7"/>
    <w:semiHidden/>
    <w:rsid w:val="00844B64"/>
    <w:rPr>
      <w:rFonts w:ascii="Cambria" w:hAnsi="Cambria"/>
      <w:i/>
      <w:iCs/>
      <w:sz w:val="22"/>
      <w:szCs w:val="22"/>
      <w:lang w:eastAsia="en-US" w:bidi="en-US"/>
    </w:rPr>
  </w:style>
  <w:style w:type="character" w:customStyle="1" w:styleId="Heading8Char">
    <w:name w:val="Heading 8 Char"/>
    <w:basedOn w:val="DefaultParagraphFont"/>
    <w:link w:val="Heading8"/>
    <w:semiHidden/>
    <w:rsid w:val="00844B64"/>
    <w:rPr>
      <w:rFonts w:ascii="Cambria" w:hAnsi="Cambria"/>
      <w:lang w:eastAsia="en-US" w:bidi="en-US"/>
    </w:rPr>
  </w:style>
  <w:style w:type="character" w:customStyle="1" w:styleId="Heading9Char">
    <w:name w:val="Heading 9 Char"/>
    <w:basedOn w:val="DefaultParagraphFont"/>
    <w:link w:val="Heading9"/>
    <w:semiHidden/>
    <w:rsid w:val="00844B64"/>
    <w:rPr>
      <w:rFonts w:ascii="Cambria" w:hAnsi="Cambria"/>
      <w:i/>
      <w:iCs/>
      <w:spacing w:val="5"/>
      <w:lang w:eastAsia="en-US" w:bidi="en-US"/>
    </w:rPr>
  </w:style>
  <w:style w:type="paragraph" w:customStyle="1" w:styleId="Default">
    <w:name w:val="Default"/>
    <w:rsid w:val="005F2DBC"/>
    <w:pPr>
      <w:autoSpaceDE w:val="0"/>
      <w:autoSpaceDN w:val="0"/>
      <w:adjustRightInd w:val="0"/>
      <w:spacing w:after="200" w:line="276" w:lineRule="auto"/>
    </w:pPr>
    <w:rPr>
      <w:rFonts w:ascii="Arial" w:hAnsi="Arial" w:cs="Arial"/>
      <w:color w:val="000000"/>
      <w:sz w:val="24"/>
      <w:szCs w:val="24"/>
      <w:lang w:val="en-US" w:eastAsia="en-US" w:bidi="en-US"/>
    </w:rPr>
  </w:style>
  <w:style w:type="character" w:customStyle="1" w:styleId="Heading2Char">
    <w:name w:val="Heading 2 Char"/>
    <w:basedOn w:val="DefaultParagraphFont"/>
    <w:link w:val="Heading2"/>
    <w:rsid w:val="001E6C80"/>
    <w:rPr>
      <w:rFonts w:ascii="Arial" w:hAnsi="Arial"/>
      <w:b/>
      <w:bCs/>
      <w:sz w:val="28"/>
      <w:szCs w:val="26"/>
      <w:lang w:eastAsia="en-US" w:bidi="en-US"/>
    </w:rPr>
  </w:style>
  <w:style w:type="paragraph" w:customStyle="1" w:styleId="ITTBody">
    <w:name w:val="ITT Body"/>
    <w:basedOn w:val="Normal"/>
    <w:link w:val="ITTBodyChar"/>
    <w:qFormat/>
    <w:rsid w:val="007511DA"/>
    <w:pPr>
      <w:numPr>
        <w:ilvl w:val="1"/>
        <w:numId w:val="1"/>
      </w:numPr>
      <w:tabs>
        <w:tab w:val="left" w:pos="851"/>
      </w:tabs>
      <w:spacing w:after="120" w:line="240" w:lineRule="auto"/>
    </w:pPr>
    <w:rPr>
      <w:rFonts w:ascii="Arial" w:hAnsi="Arial" w:cs="Arial"/>
    </w:rPr>
  </w:style>
  <w:style w:type="paragraph" w:customStyle="1" w:styleId="ITTHeading1">
    <w:name w:val="ITT Heading 1"/>
    <w:basedOn w:val="Normal"/>
    <w:qFormat/>
    <w:rsid w:val="0004760E"/>
    <w:pPr>
      <w:numPr>
        <w:numId w:val="1"/>
      </w:numPr>
      <w:tabs>
        <w:tab w:val="left" w:pos="851"/>
      </w:tabs>
      <w:spacing w:before="360" w:after="120" w:line="240" w:lineRule="auto"/>
      <w:ind w:left="851" w:hanging="851"/>
    </w:pPr>
    <w:rPr>
      <w:rFonts w:ascii="Arial" w:hAnsi="Arial"/>
      <w:b/>
      <w:sz w:val="32"/>
      <w:szCs w:val="32"/>
      <w:lang w:bidi="ar-SA"/>
    </w:rPr>
  </w:style>
  <w:style w:type="paragraph" w:customStyle="1" w:styleId="ITTHeading4">
    <w:name w:val="ITT Heading 4"/>
    <w:basedOn w:val="Normal"/>
    <w:qFormat/>
    <w:rsid w:val="009B2011"/>
    <w:pPr>
      <w:spacing w:before="120" w:after="120" w:line="240" w:lineRule="auto"/>
      <w:ind w:left="1134"/>
      <w:jc w:val="both"/>
    </w:pPr>
    <w:rPr>
      <w:rFonts w:ascii="Arial" w:hAnsi="Arial" w:cs="Arial"/>
      <w:b/>
      <w:lang w:bidi="ar-SA"/>
    </w:rPr>
  </w:style>
  <w:style w:type="paragraph" w:customStyle="1" w:styleId="ITTHyperlink">
    <w:name w:val="ITT Hyperlink"/>
    <w:basedOn w:val="Normal"/>
    <w:qFormat/>
    <w:rsid w:val="009B2011"/>
    <w:pPr>
      <w:spacing w:after="120" w:line="240" w:lineRule="auto"/>
      <w:ind w:left="1134"/>
    </w:pPr>
    <w:rPr>
      <w:rFonts w:ascii="Arial" w:hAnsi="Arial"/>
      <w:szCs w:val="24"/>
      <w:lang w:bidi="ar-SA"/>
    </w:rPr>
  </w:style>
  <w:style w:type="paragraph" w:customStyle="1" w:styleId="ITTTable1">
    <w:name w:val="ITT Table 1"/>
    <w:basedOn w:val="Normal"/>
    <w:uiPriority w:val="99"/>
    <w:qFormat/>
    <w:rsid w:val="00B9569C"/>
    <w:pPr>
      <w:spacing w:before="120" w:after="120" w:line="240" w:lineRule="auto"/>
    </w:pPr>
    <w:rPr>
      <w:rFonts w:ascii="Arial" w:hAnsi="Arial" w:cs="Arial"/>
      <w:szCs w:val="24"/>
      <w:lang w:bidi="ar-SA"/>
    </w:rPr>
  </w:style>
  <w:style w:type="paragraph" w:customStyle="1" w:styleId="ITTBodyLevel2">
    <w:name w:val="ITT Body Level 2"/>
    <w:basedOn w:val="ITTBody"/>
    <w:qFormat/>
    <w:rsid w:val="007511DA"/>
    <w:pPr>
      <w:numPr>
        <w:ilvl w:val="2"/>
      </w:numPr>
      <w:tabs>
        <w:tab w:val="clear" w:pos="851"/>
        <w:tab w:val="left" w:pos="1843"/>
      </w:tabs>
      <w:ind w:left="1843" w:hanging="992"/>
    </w:pPr>
  </w:style>
  <w:style w:type="paragraph" w:customStyle="1" w:styleId="ITTBullet1">
    <w:name w:val="ITT Bullet1"/>
    <w:basedOn w:val="Normal"/>
    <w:qFormat/>
    <w:rsid w:val="00AD6702"/>
    <w:pPr>
      <w:numPr>
        <w:numId w:val="2"/>
      </w:numPr>
      <w:tabs>
        <w:tab w:val="left" w:pos="2552"/>
      </w:tabs>
      <w:spacing w:before="60" w:after="60" w:line="240" w:lineRule="auto"/>
      <w:ind w:left="2552" w:hanging="567"/>
    </w:pPr>
    <w:rPr>
      <w:rFonts w:ascii="Arial" w:eastAsia="Calibri" w:hAnsi="Arial" w:cs="Arial"/>
      <w:lang w:eastAsia="en-GB"/>
    </w:rPr>
  </w:style>
  <w:style w:type="paragraph" w:customStyle="1" w:styleId="ITTHeading4a">
    <w:name w:val="ITT Heading 4a"/>
    <w:basedOn w:val="ITTBody"/>
    <w:qFormat/>
    <w:rsid w:val="004621FA"/>
    <w:pPr>
      <w:numPr>
        <w:ilvl w:val="0"/>
        <w:numId w:val="0"/>
      </w:numPr>
      <w:spacing w:after="240"/>
      <w:ind w:left="1021" w:hanging="1021"/>
    </w:pPr>
    <w:rPr>
      <w:b/>
      <w:lang w:bidi="ar-SA"/>
    </w:rPr>
  </w:style>
  <w:style w:type="paragraph" w:customStyle="1" w:styleId="ITTBodyafter4a">
    <w:name w:val="ITT Body after 4a"/>
    <w:basedOn w:val="ITTHeading4a"/>
    <w:qFormat/>
    <w:rsid w:val="004621FA"/>
    <w:pPr>
      <w:ind w:left="1134" w:hanging="1134"/>
    </w:pPr>
    <w:rPr>
      <w:b w:val="0"/>
    </w:rPr>
  </w:style>
  <w:style w:type="paragraph" w:customStyle="1" w:styleId="ITTPlainBody">
    <w:name w:val="ITT Plain Body"/>
    <w:basedOn w:val="ITTBody"/>
    <w:qFormat/>
    <w:rsid w:val="0074186A"/>
    <w:pPr>
      <w:numPr>
        <w:ilvl w:val="0"/>
        <w:numId w:val="0"/>
      </w:numPr>
      <w:spacing w:after="240"/>
    </w:pPr>
    <w:rPr>
      <w:lang w:bidi="ar-SA"/>
    </w:rPr>
  </w:style>
  <w:style w:type="paragraph" w:customStyle="1" w:styleId="ITTBullet">
    <w:name w:val="ITT Bullet"/>
    <w:basedOn w:val="Normal"/>
    <w:uiPriority w:val="99"/>
    <w:qFormat/>
    <w:rsid w:val="00F54F47"/>
    <w:pPr>
      <w:numPr>
        <w:numId w:val="4"/>
      </w:numPr>
      <w:tabs>
        <w:tab w:val="left" w:pos="1560"/>
      </w:tabs>
      <w:spacing w:before="60" w:after="240" w:line="240" w:lineRule="auto"/>
    </w:pPr>
    <w:rPr>
      <w:rFonts w:ascii="Arial" w:hAnsi="Arial" w:cs="Arial"/>
      <w:szCs w:val="24"/>
      <w:lang w:bidi="ar-SA"/>
    </w:rPr>
  </w:style>
  <w:style w:type="paragraph" w:customStyle="1" w:styleId="ITTHeading3">
    <w:name w:val="ITT Heading 3"/>
    <w:basedOn w:val="ITTBodyLevel2"/>
    <w:qFormat/>
    <w:rsid w:val="00AD6702"/>
    <w:pPr>
      <w:ind w:left="1305" w:hanging="1021"/>
    </w:pPr>
    <w:rPr>
      <w:b/>
      <w:sz w:val="24"/>
      <w:szCs w:val="24"/>
    </w:rPr>
  </w:style>
  <w:style w:type="paragraph" w:customStyle="1" w:styleId="ITTBulletlevel2">
    <w:name w:val="ITT Bullet level 2"/>
    <w:basedOn w:val="ITTBullet"/>
    <w:uiPriority w:val="99"/>
    <w:qFormat/>
    <w:rsid w:val="00F54F47"/>
    <w:pPr>
      <w:numPr>
        <w:ilvl w:val="1"/>
        <w:numId w:val="3"/>
      </w:numPr>
      <w:tabs>
        <w:tab w:val="clear" w:pos="1560"/>
        <w:tab w:val="left" w:pos="2268"/>
      </w:tabs>
    </w:pPr>
  </w:style>
  <w:style w:type="paragraph" w:customStyle="1" w:styleId="ITTTableHeading">
    <w:name w:val="ITT Table Heading"/>
    <w:basedOn w:val="ITTTable1"/>
    <w:uiPriority w:val="99"/>
    <w:qFormat/>
    <w:rsid w:val="00E96B03"/>
    <w:pPr>
      <w:spacing w:beforeLines="60" w:afterLines="60"/>
    </w:pPr>
    <w:rPr>
      <w:b/>
      <w:szCs w:val="22"/>
    </w:rPr>
  </w:style>
  <w:style w:type="paragraph" w:customStyle="1" w:styleId="ITTStyle3">
    <w:name w:val="ITT Style 3"/>
    <w:basedOn w:val="Normal"/>
    <w:qFormat/>
    <w:rsid w:val="008C4264"/>
    <w:pPr>
      <w:tabs>
        <w:tab w:val="left" w:pos="2835"/>
        <w:tab w:val="left" w:pos="5103"/>
        <w:tab w:val="left" w:pos="7088"/>
      </w:tabs>
      <w:spacing w:after="120"/>
      <w:ind w:left="1134"/>
    </w:pPr>
    <w:rPr>
      <w:rFonts w:ascii="Arial" w:hAnsi="Arial" w:cs="Arial"/>
      <w:lang w:bidi="ar-SA"/>
    </w:rPr>
  </w:style>
  <w:style w:type="paragraph" w:customStyle="1" w:styleId="ITTgenericheading">
    <w:name w:val="ITT generic heading"/>
    <w:basedOn w:val="Normal"/>
    <w:qFormat/>
    <w:rsid w:val="0049431B"/>
    <w:pPr>
      <w:tabs>
        <w:tab w:val="left" w:pos="1134"/>
      </w:tabs>
      <w:spacing w:line="240" w:lineRule="auto"/>
      <w:jc w:val="center"/>
    </w:pPr>
    <w:rPr>
      <w:rFonts w:ascii="Arial" w:hAnsi="Arial" w:cs="Arial"/>
      <w:b/>
      <w:sz w:val="20"/>
      <w:szCs w:val="20"/>
    </w:rPr>
  </w:style>
  <w:style w:type="paragraph" w:customStyle="1" w:styleId="ITTAppendix1">
    <w:name w:val="ITT Appendix 1"/>
    <w:basedOn w:val="ITTHeading1"/>
    <w:uiPriority w:val="99"/>
    <w:qFormat/>
    <w:rsid w:val="0073069B"/>
    <w:pPr>
      <w:numPr>
        <w:numId w:val="0"/>
      </w:numPr>
      <w:tabs>
        <w:tab w:val="left" w:pos="567"/>
      </w:tabs>
      <w:ind w:left="567" w:hanging="567"/>
    </w:pPr>
  </w:style>
  <w:style w:type="paragraph" w:customStyle="1" w:styleId="ITTAppendix2">
    <w:name w:val="ITT Appendix 2"/>
    <w:basedOn w:val="ITTPlainBody"/>
    <w:qFormat/>
    <w:rsid w:val="0073069B"/>
    <w:rPr>
      <w:b/>
    </w:rPr>
  </w:style>
  <w:style w:type="paragraph" w:customStyle="1" w:styleId="ITTBullet3">
    <w:name w:val="ITT Bullet 3"/>
    <w:basedOn w:val="ITTBullet"/>
    <w:uiPriority w:val="99"/>
    <w:qFormat/>
    <w:rsid w:val="001A1A96"/>
    <w:pPr>
      <w:numPr>
        <w:numId w:val="5"/>
      </w:numPr>
      <w:tabs>
        <w:tab w:val="left" w:pos="993"/>
      </w:tabs>
      <w:spacing w:after="120"/>
      <w:ind w:left="1434" w:hanging="357"/>
    </w:pPr>
  </w:style>
  <w:style w:type="paragraph" w:customStyle="1" w:styleId="ITTPlainBodyBold">
    <w:name w:val="ITT Plain Body Bold"/>
    <w:basedOn w:val="ITTPlainBody"/>
    <w:qFormat/>
    <w:rsid w:val="00F929A8"/>
    <w:rPr>
      <w:b/>
    </w:rPr>
  </w:style>
  <w:style w:type="paragraph" w:customStyle="1" w:styleId="ITTHeading5">
    <w:name w:val="ITT Heading 5"/>
    <w:basedOn w:val="ITTHeading4a"/>
    <w:qFormat/>
    <w:rsid w:val="00F54F47"/>
    <w:pPr>
      <w:tabs>
        <w:tab w:val="left" w:pos="1843"/>
      </w:tabs>
      <w:ind w:left="1843" w:firstLine="0"/>
    </w:pPr>
  </w:style>
  <w:style w:type="paragraph" w:customStyle="1" w:styleId="ITTHeading2">
    <w:name w:val="ITT Heading 2"/>
    <w:basedOn w:val="ITTBody"/>
    <w:link w:val="ITTHeading2Char"/>
    <w:qFormat/>
    <w:rsid w:val="007511DA"/>
    <w:rPr>
      <w:b/>
      <w:sz w:val="28"/>
      <w:szCs w:val="28"/>
      <w:lang w:bidi="ar-SA"/>
    </w:rPr>
  </w:style>
  <w:style w:type="paragraph" w:styleId="Revision">
    <w:name w:val="Revision"/>
    <w:hidden/>
    <w:uiPriority w:val="99"/>
    <w:semiHidden/>
    <w:rsid w:val="00221A8D"/>
    <w:rPr>
      <w:sz w:val="22"/>
      <w:szCs w:val="22"/>
      <w:lang w:val="en-US" w:eastAsia="en-US" w:bidi="en-US"/>
    </w:rPr>
  </w:style>
  <w:style w:type="character" w:customStyle="1" w:styleId="ITTBodyChar">
    <w:name w:val="ITT Body Char"/>
    <w:basedOn w:val="DefaultParagraphFont"/>
    <w:link w:val="ITTBody"/>
    <w:rsid w:val="007511DA"/>
    <w:rPr>
      <w:rFonts w:ascii="Arial" w:hAnsi="Arial" w:cs="Arial"/>
      <w:sz w:val="22"/>
      <w:szCs w:val="22"/>
      <w:lang w:eastAsia="en-US" w:bidi="en-US"/>
    </w:rPr>
  </w:style>
  <w:style w:type="character" w:customStyle="1" w:styleId="ITTHeading2Char">
    <w:name w:val="ITT Heading 2 Char"/>
    <w:basedOn w:val="ITTBodyChar"/>
    <w:link w:val="ITTHeading2"/>
    <w:rsid w:val="007511DA"/>
    <w:rPr>
      <w:rFonts w:ascii="Arial" w:hAnsi="Arial" w:cs="Arial"/>
      <w:b/>
      <w:sz w:val="28"/>
      <w:szCs w:val="28"/>
      <w:lang w:eastAsia="en-US" w:bidi="en-US"/>
    </w:rPr>
  </w:style>
  <w:style w:type="paragraph" w:customStyle="1" w:styleId="ITTBullet2">
    <w:name w:val="ITT Bullet 2"/>
    <w:basedOn w:val="ITTBullet1"/>
    <w:qFormat/>
    <w:rsid w:val="00AC7A40"/>
    <w:pPr>
      <w:numPr>
        <w:ilvl w:val="1"/>
      </w:numPr>
      <w:tabs>
        <w:tab w:val="clear" w:pos="2552"/>
        <w:tab w:val="left" w:pos="3261"/>
      </w:tabs>
      <w:ind w:left="3261"/>
    </w:pPr>
  </w:style>
  <w:style w:type="paragraph" w:customStyle="1" w:styleId="ITTBody3">
    <w:name w:val="ITT Body 3"/>
    <w:basedOn w:val="ITTBodyLevel2"/>
    <w:qFormat/>
    <w:rsid w:val="00256C78"/>
    <w:pPr>
      <w:numPr>
        <w:ilvl w:val="0"/>
        <w:numId w:val="0"/>
      </w:numPr>
      <w:tabs>
        <w:tab w:val="clear" w:pos="1843"/>
        <w:tab w:val="left" w:pos="2835"/>
      </w:tabs>
    </w:pPr>
    <w:rPr>
      <w:sz w:val="24"/>
    </w:rPr>
  </w:style>
  <w:style w:type="paragraph" w:customStyle="1" w:styleId="ITTBody4">
    <w:name w:val="ITT Body 4"/>
    <w:basedOn w:val="ITTBody3"/>
    <w:qFormat/>
    <w:rsid w:val="00C528E1"/>
    <w:pPr>
      <w:numPr>
        <w:ilvl w:val="4"/>
      </w:numPr>
      <w:tabs>
        <w:tab w:val="clear" w:pos="2835"/>
        <w:tab w:val="left" w:pos="3969"/>
      </w:tabs>
      <w:ind w:left="3969" w:hanging="1162"/>
    </w:pPr>
  </w:style>
  <w:style w:type="paragraph" w:styleId="EndnoteText">
    <w:name w:val="endnote text"/>
    <w:basedOn w:val="Normal"/>
    <w:link w:val="EndnoteTextChar"/>
    <w:rsid w:val="00B95AE4"/>
    <w:pPr>
      <w:spacing w:after="0" w:line="240" w:lineRule="auto"/>
    </w:pPr>
    <w:rPr>
      <w:sz w:val="20"/>
      <w:szCs w:val="20"/>
    </w:rPr>
  </w:style>
  <w:style w:type="character" w:customStyle="1" w:styleId="EndnoteTextChar">
    <w:name w:val="Endnote Text Char"/>
    <w:basedOn w:val="DefaultParagraphFont"/>
    <w:link w:val="EndnoteText"/>
    <w:rsid w:val="00B95AE4"/>
    <w:rPr>
      <w:lang w:val="en-US" w:eastAsia="en-US" w:bidi="en-US"/>
    </w:rPr>
  </w:style>
  <w:style w:type="character" w:styleId="EndnoteReference">
    <w:name w:val="endnote reference"/>
    <w:basedOn w:val="DefaultParagraphFont"/>
    <w:rsid w:val="00B95AE4"/>
    <w:rPr>
      <w:vertAlign w:val="superscript"/>
    </w:rPr>
  </w:style>
  <w:style w:type="paragraph" w:styleId="Title">
    <w:name w:val="Title"/>
    <w:basedOn w:val="Normal"/>
    <w:next w:val="Heading1"/>
    <w:link w:val="TitleChar"/>
    <w:qFormat/>
    <w:rsid w:val="00173207"/>
    <w:pPr>
      <w:spacing w:before="120" w:after="120" w:line="240" w:lineRule="auto"/>
      <w:jc w:val="center"/>
      <w:outlineLvl w:val="0"/>
    </w:pPr>
    <w:rPr>
      <w:rFonts w:ascii="Arial" w:hAnsi="Arial"/>
      <w:b/>
      <w:bCs/>
      <w:kern w:val="28"/>
      <w:sz w:val="32"/>
      <w:szCs w:val="32"/>
      <w:lang w:eastAsia="en-GB" w:bidi="ar-SA"/>
    </w:rPr>
  </w:style>
  <w:style w:type="character" w:customStyle="1" w:styleId="TitleChar">
    <w:name w:val="Title Char"/>
    <w:basedOn w:val="DefaultParagraphFont"/>
    <w:link w:val="Title"/>
    <w:rsid w:val="00173207"/>
    <w:rPr>
      <w:rFonts w:ascii="Arial" w:hAnsi="Arial"/>
      <w:b/>
      <w:bCs/>
      <w:kern w:val="28"/>
      <w:sz w:val="32"/>
      <w:szCs w:val="32"/>
    </w:rPr>
  </w:style>
  <w:style w:type="paragraph" w:customStyle="1" w:styleId="lead">
    <w:name w:val="lead"/>
    <w:basedOn w:val="Normal"/>
    <w:rsid w:val="00BD6F16"/>
    <w:pPr>
      <w:spacing w:after="360" w:line="420" w:lineRule="atLeast"/>
    </w:pPr>
    <w:rPr>
      <w:rFonts w:ascii="Times New Roman" w:hAnsi="Times New Roman"/>
      <w:sz w:val="30"/>
      <w:szCs w:val="30"/>
      <w:lang w:eastAsia="en-GB" w:bidi="ar-SA"/>
    </w:rPr>
  </w:style>
  <w:style w:type="paragraph" w:styleId="TOCHeading">
    <w:name w:val="TOC Heading"/>
    <w:basedOn w:val="Heading1"/>
    <w:next w:val="Normal"/>
    <w:uiPriority w:val="39"/>
    <w:unhideWhenUsed/>
    <w:qFormat/>
    <w:rsid w:val="008B1460"/>
    <w:pPr>
      <w:keepNext/>
      <w:keepLines/>
      <w:numPr>
        <w:numId w:val="0"/>
      </w:numPr>
      <w:spacing w:before="240" w:line="259" w:lineRule="auto"/>
      <w:contextualSpacing w:val="0"/>
      <w:outlineLvl w:val="9"/>
    </w:pPr>
    <w:rPr>
      <w:rFonts w:asciiTheme="majorHAnsi" w:eastAsiaTheme="majorEastAsia" w:hAnsiTheme="majorHAnsi" w:cstheme="majorBidi"/>
      <w:b w:val="0"/>
      <w:bCs w:val="0"/>
      <w:color w:val="365F91" w:themeColor="accent1" w:themeShade="BF"/>
      <w:szCs w:val="32"/>
      <w:lang w:bidi="ar-SA"/>
    </w:rPr>
  </w:style>
  <w:style w:type="paragraph" w:styleId="TOC3">
    <w:name w:val="toc 3"/>
    <w:basedOn w:val="Normal"/>
    <w:next w:val="Normal"/>
    <w:autoRedefine/>
    <w:uiPriority w:val="39"/>
    <w:unhideWhenUsed/>
    <w:rsid w:val="008B1460"/>
    <w:pPr>
      <w:spacing w:after="100"/>
      <w:ind w:left="440"/>
    </w:pPr>
  </w:style>
  <w:style w:type="character" w:styleId="FollowedHyperlink">
    <w:name w:val="FollowedHyperlink"/>
    <w:basedOn w:val="DefaultParagraphFont"/>
    <w:semiHidden/>
    <w:unhideWhenUsed/>
    <w:rsid w:val="00024149"/>
    <w:rPr>
      <w:color w:val="800080" w:themeColor="followedHyperlink"/>
      <w:u w:val="single"/>
    </w:rPr>
  </w:style>
  <w:style w:type="paragraph" w:customStyle="1" w:styleId="Paragraphnonumbers">
    <w:name w:val="Paragraph no numbers"/>
    <w:basedOn w:val="Normal"/>
    <w:uiPriority w:val="99"/>
    <w:qFormat/>
    <w:rsid w:val="00A8730F"/>
    <w:pPr>
      <w:spacing w:after="240"/>
    </w:pPr>
    <w:rPr>
      <w:rFonts w:ascii="Arial" w:hAnsi="Arial"/>
      <w:sz w:val="24"/>
      <w:szCs w:val="24"/>
      <w:lang w:eastAsia="en-GB" w:bidi="ar-SA"/>
    </w:rPr>
  </w:style>
  <w:style w:type="paragraph" w:customStyle="1" w:styleId="ITTBodyLevel3">
    <w:name w:val="ITT Body Level 3"/>
    <w:basedOn w:val="ITTBodyLevel2"/>
    <w:qFormat/>
    <w:rsid w:val="00A45044"/>
    <w:pPr>
      <w:numPr>
        <w:ilvl w:val="0"/>
        <w:numId w:val="0"/>
      </w:numPr>
      <w:tabs>
        <w:tab w:val="clear" w:pos="1843"/>
        <w:tab w:val="left" w:pos="2127"/>
        <w:tab w:val="left" w:pos="2268"/>
      </w:tabs>
      <w:spacing w:line="276" w:lineRule="auto"/>
      <w:ind w:left="2127" w:hanging="993"/>
    </w:pPr>
    <w:rPr>
      <w:lang w:val="en-US"/>
    </w:rPr>
  </w:style>
  <w:style w:type="paragraph" w:styleId="ListParagraph">
    <w:name w:val="List Paragraph"/>
    <w:basedOn w:val="Normal"/>
    <w:uiPriority w:val="34"/>
    <w:qFormat/>
    <w:rsid w:val="00E94E1A"/>
    <w:pPr>
      <w:spacing w:after="0" w:line="240" w:lineRule="auto"/>
      <w:ind w:left="720"/>
      <w:contextualSpacing/>
    </w:pPr>
    <w:rPr>
      <w:rFonts w:ascii="Times New Roman" w:hAnsi="Times New Roman"/>
      <w:sz w:val="24"/>
      <w:szCs w:val="24"/>
      <w:lang w:eastAsia="en-GB" w:bidi="ar-SA"/>
    </w:rPr>
  </w:style>
  <w:style w:type="paragraph" w:styleId="NoSpacing">
    <w:name w:val="No Spacing"/>
    <w:uiPriority w:val="1"/>
    <w:qFormat/>
    <w:rsid w:val="006B7AAA"/>
    <w:rPr>
      <w:sz w:val="22"/>
      <w:szCs w:val="22"/>
      <w:lang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520897">
      <w:bodyDiv w:val="1"/>
      <w:marLeft w:val="0"/>
      <w:marRight w:val="0"/>
      <w:marTop w:val="0"/>
      <w:marBottom w:val="0"/>
      <w:divBdr>
        <w:top w:val="none" w:sz="0" w:space="0" w:color="auto"/>
        <w:left w:val="none" w:sz="0" w:space="0" w:color="auto"/>
        <w:bottom w:val="none" w:sz="0" w:space="0" w:color="auto"/>
        <w:right w:val="none" w:sz="0" w:space="0" w:color="auto"/>
      </w:divBdr>
    </w:div>
    <w:div w:id="60644265">
      <w:bodyDiv w:val="1"/>
      <w:marLeft w:val="0"/>
      <w:marRight w:val="0"/>
      <w:marTop w:val="0"/>
      <w:marBottom w:val="0"/>
      <w:divBdr>
        <w:top w:val="none" w:sz="0" w:space="0" w:color="auto"/>
        <w:left w:val="none" w:sz="0" w:space="0" w:color="auto"/>
        <w:bottom w:val="none" w:sz="0" w:space="0" w:color="auto"/>
        <w:right w:val="none" w:sz="0" w:space="0" w:color="auto"/>
      </w:divBdr>
    </w:div>
    <w:div w:id="179438646">
      <w:bodyDiv w:val="1"/>
      <w:marLeft w:val="0"/>
      <w:marRight w:val="0"/>
      <w:marTop w:val="0"/>
      <w:marBottom w:val="0"/>
      <w:divBdr>
        <w:top w:val="none" w:sz="0" w:space="0" w:color="auto"/>
        <w:left w:val="none" w:sz="0" w:space="0" w:color="auto"/>
        <w:bottom w:val="none" w:sz="0" w:space="0" w:color="auto"/>
        <w:right w:val="none" w:sz="0" w:space="0" w:color="auto"/>
      </w:divBdr>
      <w:divsChild>
        <w:div w:id="182287756">
          <w:marLeft w:val="0"/>
          <w:marRight w:val="0"/>
          <w:marTop w:val="0"/>
          <w:marBottom w:val="0"/>
          <w:divBdr>
            <w:top w:val="none" w:sz="0" w:space="0" w:color="auto"/>
            <w:left w:val="none" w:sz="0" w:space="0" w:color="auto"/>
            <w:bottom w:val="none" w:sz="0" w:space="0" w:color="auto"/>
            <w:right w:val="none" w:sz="0" w:space="0" w:color="auto"/>
          </w:divBdr>
          <w:divsChild>
            <w:div w:id="485903008">
              <w:marLeft w:val="0"/>
              <w:marRight w:val="0"/>
              <w:marTop w:val="0"/>
              <w:marBottom w:val="0"/>
              <w:divBdr>
                <w:top w:val="none" w:sz="0" w:space="0" w:color="auto"/>
                <w:left w:val="none" w:sz="0" w:space="0" w:color="auto"/>
                <w:bottom w:val="none" w:sz="0" w:space="0" w:color="auto"/>
                <w:right w:val="none" w:sz="0" w:space="0" w:color="auto"/>
              </w:divBdr>
              <w:divsChild>
                <w:div w:id="1970282409">
                  <w:marLeft w:val="8355"/>
                  <w:marRight w:val="0"/>
                  <w:marTop w:val="0"/>
                  <w:marBottom w:val="0"/>
                  <w:divBdr>
                    <w:top w:val="none" w:sz="0" w:space="0" w:color="auto"/>
                    <w:left w:val="none" w:sz="0" w:space="0" w:color="auto"/>
                    <w:bottom w:val="none" w:sz="0" w:space="0" w:color="auto"/>
                    <w:right w:val="none" w:sz="0" w:space="0" w:color="auto"/>
                  </w:divBdr>
                  <w:divsChild>
                    <w:div w:id="681202520">
                      <w:marLeft w:val="0"/>
                      <w:marRight w:val="0"/>
                      <w:marTop w:val="0"/>
                      <w:marBottom w:val="0"/>
                      <w:divBdr>
                        <w:top w:val="none" w:sz="0" w:space="0" w:color="auto"/>
                        <w:left w:val="none" w:sz="0" w:space="0" w:color="auto"/>
                        <w:bottom w:val="none" w:sz="0" w:space="0" w:color="auto"/>
                        <w:right w:val="none" w:sz="0" w:space="0" w:color="auto"/>
                      </w:divBdr>
                      <w:divsChild>
                        <w:div w:id="127206381">
                          <w:marLeft w:val="0"/>
                          <w:marRight w:val="0"/>
                          <w:marTop w:val="0"/>
                          <w:marBottom w:val="0"/>
                          <w:divBdr>
                            <w:top w:val="none" w:sz="0" w:space="0" w:color="auto"/>
                            <w:left w:val="none" w:sz="0" w:space="0" w:color="auto"/>
                            <w:bottom w:val="none" w:sz="0" w:space="0" w:color="auto"/>
                            <w:right w:val="none" w:sz="0" w:space="0" w:color="auto"/>
                          </w:divBdr>
                          <w:divsChild>
                            <w:div w:id="354230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2033808">
      <w:bodyDiv w:val="1"/>
      <w:marLeft w:val="0"/>
      <w:marRight w:val="0"/>
      <w:marTop w:val="0"/>
      <w:marBottom w:val="0"/>
      <w:divBdr>
        <w:top w:val="none" w:sz="0" w:space="0" w:color="auto"/>
        <w:left w:val="none" w:sz="0" w:space="0" w:color="auto"/>
        <w:bottom w:val="none" w:sz="0" w:space="0" w:color="auto"/>
        <w:right w:val="none" w:sz="0" w:space="0" w:color="auto"/>
      </w:divBdr>
    </w:div>
    <w:div w:id="350692607">
      <w:bodyDiv w:val="1"/>
      <w:marLeft w:val="0"/>
      <w:marRight w:val="0"/>
      <w:marTop w:val="0"/>
      <w:marBottom w:val="0"/>
      <w:divBdr>
        <w:top w:val="none" w:sz="0" w:space="0" w:color="auto"/>
        <w:left w:val="none" w:sz="0" w:space="0" w:color="auto"/>
        <w:bottom w:val="none" w:sz="0" w:space="0" w:color="auto"/>
        <w:right w:val="none" w:sz="0" w:space="0" w:color="auto"/>
      </w:divBdr>
    </w:div>
    <w:div w:id="490492065">
      <w:bodyDiv w:val="1"/>
      <w:marLeft w:val="0"/>
      <w:marRight w:val="0"/>
      <w:marTop w:val="0"/>
      <w:marBottom w:val="0"/>
      <w:divBdr>
        <w:top w:val="none" w:sz="0" w:space="0" w:color="auto"/>
        <w:left w:val="none" w:sz="0" w:space="0" w:color="auto"/>
        <w:bottom w:val="none" w:sz="0" w:space="0" w:color="auto"/>
        <w:right w:val="none" w:sz="0" w:space="0" w:color="auto"/>
      </w:divBdr>
    </w:div>
    <w:div w:id="535584369">
      <w:bodyDiv w:val="1"/>
      <w:marLeft w:val="0"/>
      <w:marRight w:val="0"/>
      <w:marTop w:val="0"/>
      <w:marBottom w:val="0"/>
      <w:divBdr>
        <w:top w:val="none" w:sz="0" w:space="0" w:color="auto"/>
        <w:left w:val="none" w:sz="0" w:space="0" w:color="auto"/>
        <w:bottom w:val="none" w:sz="0" w:space="0" w:color="auto"/>
        <w:right w:val="none" w:sz="0" w:space="0" w:color="auto"/>
      </w:divBdr>
      <w:divsChild>
        <w:div w:id="1829511945">
          <w:marLeft w:val="0"/>
          <w:marRight w:val="0"/>
          <w:marTop w:val="0"/>
          <w:marBottom w:val="0"/>
          <w:divBdr>
            <w:top w:val="none" w:sz="0" w:space="0" w:color="auto"/>
            <w:left w:val="none" w:sz="0" w:space="0" w:color="auto"/>
            <w:bottom w:val="none" w:sz="0" w:space="0" w:color="auto"/>
            <w:right w:val="none" w:sz="0" w:space="0" w:color="auto"/>
          </w:divBdr>
          <w:divsChild>
            <w:div w:id="1106314473">
              <w:marLeft w:val="0"/>
              <w:marRight w:val="0"/>
              <w:marTop w:val="0"/>
              <w:marBottom w:val="0"/>
              <w:divBdr>
                <w:top w:val="none" w:sz="0" w:space="0" w:color="auto"/>
                <w:left w:val="none" w:sz="0" w:space="0" w:color="auto"/>
                <w:bottom w:val="none" w:sz="0" w:space="0" w:color="auto"/>
                <w:right w:val="none" w:sz="0" w:space="0" w:color="auto"/>
              </w:divBdr>
              <w:divsChild>
                <w:div w:id="1264339661">
                  <w:marLeft w:val="8355"/>
                  <w:marRight w:val="0"/>
                  <w:marTop w:val="0"/>
                  <w:marBottom w:val="0"/>
                  <w:divBdr>
                    <w:top w:val="none" w:sz="0" w:space="0" w:color="auto"/>
                    <w:left w:val="none" w:sz="0" w:space="0" w:color="auto"/>
                    <w:bottom w:val="none" w:sz="0" w:space="0" w:color="auto"/>
                    <w:right w:val="none" w:sz="0" w:space="0" w:color="auto"/>
                  </w:divBdr>
                  <w:divsChild>
                    <w:div w:id="790444705">
                      <w:marLeft w:val="0"/>
                      <w:marRight w:val="0"/>
                      <w:marTop w:val="0"/>
                      <w:marBottom w:val="0"/>
                      <w:divBdr>
                        <w:top w:val="none" w:sz="0" w:space="0" w:color="auto"/>
                        <w:left w:val="none" w:sz="0" w:space="0" w:color="auto"/>
                        <w:bottom w:val="none" w:sz="0" w:space="0" w:color="auto"/>
                        <w:right w:val="none" w:sz="0" w:space="0" w:color="auto"/>
                      </w:divBdr>
                      <w:divsChild>
                        <w:div w:id="1163083855">
                          <w:marLeft w:val="0"/>
                          <w:marRight w:val="0"/>
                          <w:marTop w:val="0"/>
                          <w:marBottom w:val="0"/>
                          <w:divBdr>
                            <w:top w:val="none" w:sz="0" w:space="0" w:color="auto"/>
                            <w:left w:val="none" w:sz="0" w:space="0" w:color="auto"/>
                            <w:bottom w:val="none" w:sz="0" w:space="0" w:color="auto"/>
                            <w:right w:val="none" w:sz="0" w:space="0" w:color="auto"/>
                          </w:divBdr>
                          <w:divsChild>
                            <w:div w:id="1625892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68225999">
      <w:bodyDiv w:val="1"/>
      <w:marLeft w:val="0"/>
      <w:marRight w:val="0"/>
      <w:marTop w:val="0"/>
      <w:marBottom w:val="0"/>
      <w:divBdr>
        <w:top w:val="none" w:sz="0" w:space="0" w:color="auto"/>
        <w:left w:val="none" w:sz="0" w:space="0" w:color="auto"/>
        <w:bottom w:val="none" w:sz="0" w:space="0" w:color="auto"/>
        <w:right w:val="none" w:sz="0" w:space="0" w:color="auto"/>
      </w:divBdr>
      <w:divsChild>
        <w:div w:id="1234927272">
          <w:marLeft w:val="0"/>
          <w:marRight w:val="0"/>
          <w:marTop w:val="0"/>
          <w:marBottom w:val="0"/>
          <w:divBdr>
            <w:top w:val="none" w:sz="0" w:space="0" w:color="auto"/>
            <w:left w:val="none" w:sz="0" w:space="0" w:color="auto"/>
            <w:bottom w:val="none" w:sz="0" w:space="0" w:color="auto"/>
            <w:right w:val="none" w:sz="0" w:space="0" w:color="auto"/>
          </w:divBdr>
          <w:divsChild>
            <w:div w:id="74521633">
              <w:marLeft w:val="0"/>
              <w:marRight w:val="0"/>
              <w:marTop w:val="0"/>
              <w:marBottom w:val="0"/>
              <w:divBdr>
                <w:top w:val="none" w:sz="0" w:space="0" w:color="auto"/>
                <w:left w:val="none" w:sz="0" w:space="0" w:color="auto"/>
                <w:bottom w:val="none" w:sz="0" w:space="0" w:color="auto"/>
                <w:right w:val="none" w:sz="0" w:space="0" w:color="auto"/>
              </w:divBdr>
            </w:div>
            <w:div w:id="86387646">
              <w:marLeft w:val="0"/>
              <w:marRight w:val="0"/>
              <w:marTop w:val="0"/>
              <w:marBottom w:val="0"/>
              <w:divBdr>
                <w:top w:val="none" w:sz="0" w:space="0" w:color="auto"/>
                <w:left w:val="none" w:sz="0" w:space="0" w:color="auto"/>
                <w:bottom w:val="none" w:sz="0" w:space="0" w:color="auto"/>
                <w:right w:val="none" w:sz="0" w:space="0" w:color="auto"/>
              </w:divBdr>
            </w:div>
            <w:div w:id="115570048">
              <w:marLeft w:val="0"/>
              <w:marRight w:val="0"/>
              <w:marTop w:val="0"/>
              <w:marBottom w:val="0"/>
              <w:divBdr>
                <w:top w:val="none" w:sz="0" w:space="0" w:color="auto"/>
                <w:left w:val="none" w:sz="0" w:space="0" w:color="auto"/>
                <w:bottom w:val="none" w:sz="0" w:space="0" w:color="auto"/>
                <w:right w:val="none" w:sz="0" w:space="0" w:color="auto"/>
              </w:divBdr>
            </w:div>
            <w:div w:id="156003041">
              <w:marLeft w:val="0"/>
              <w:marRight w:val="0"/>
              <w:marTop w:val="0"/>
              <w:marBottom w:val="0"/>
              <w:divBdr>
                <w:top w:val="none" w:sz="0" w:space="0" w:color="auto"/>
                <w:left w:val="none" w:sz="0" w:space="0" w:color="auto"/>
                <w:bottom w:val="none" w:sz="0" w:space="0" w:color="auto"/>
                <w:right w:val="none" w:sz="0" w:space="0" w:color="auto"/>
              </w:divBdr>
            </w:div>
            <w:div w:id="285426829">
              <w:marLeft w:val="0"/>
              <w:marRight w:val="0"/>
              <w:marTop w:val="0"/>
              <w:marBottom w:val="0"/>
              <w:divBdr>
                <w:top w:val="none" w:sz="0" w:space="0" w:color="auto"/>
                <w:left w:val="none" w:sz="0" w:space="0" w:color="auto"/>
                <w:bottom w:val="none" w:sz="0" w:space="0" w:color="auto"/>
                <w:right w:val="none" w:sz="0" w:space="0" w:color="auto"/>
              </w:divBdr>
            </w:div>
            <w:div w:id="339089981">
              <w:marLeft w:val="0"/>
              <w:marRight w:val="0"/>
              <w:marTop w:val="0"/>
              <w:marBottom w:val="0"/>
              <w:divBdr>
                <w:top w:val="none" w:sz="0" w:space="0" w:color="auto"/>
                <w:left w:val="none" w:sz="0" w:space="0" w:color="auto"/>
                <w:bottom w:val="none" w:sz="0" w:space="0" w:color="auto"/>
                <w:right w:val="none" w:sz="0" w:space="0" w:color="auto"/>
              </w:divBdr>
            </w:div>
            <w:div w:id="371544388">
              <w:marLeft w:val="0"/>
              <w:marRight w:val="0"/>
              <w:marTop w:val="0"/>
              <w:marBottom w:val="0"/>
              <w:divBdr>
                <w:top w:val="none" w:sz="0" w:space="0" w:color="auto"/>
                <w:left w:val="none" w:sz="0" w:space="0" w:color="auto"/>
                <w:bottom w:val="none" w:sz="0" w:space="0" w:color="auto"/>
                <w:right w:val="none" w:sz="0" w:space="0" w:color="auto"/>
              </w:divBdr>
            </w:div>
            <w:div w:id="395666999">
              <w:marLeft w:val="0"/>
              <w:marRight w:val="0"/>
              <w:marTop w:val="0"/>
              <w:marBottom w:val="0"/>
              <w:divBdr>
                <w:top w:val="none" w:sz="0" w:space="0" w:color="auto"/>
                <w:left w:val="none" w:sz="0" w:space="0" w:color="auto"/>
                <w:bottom w:val="none" w:sz="0" w:space="0" w:color="auto"/>
                <w:right w:val="none" w:sz="0" w:space="0" w:color="auto"/>
              </w:divBdr>
            </w:div>
            <w:div w:id="398552499">
              <w:marLeft w:val="0"/>
              <w:marRight w:val="0"/>
              <w:marTop w:val="0"/>
              <w:marBottom w:val="0"/>
              <w:divBdr>
                <w:top w:val="none" w:sz="0" w:space="0" w:color="auto"/>
                <w:left w:val="none" w:sz="0" w:space="0" w:color="auto"/>
                <w:bottom w:val="none" w:sz="0" w:space="0" w:color="auto"/>
                <w:right w:val="none" w:sz="0" w:space="0" w:color="auto"/>
              </w:divBdr>
            </w:div>
            <w:div w:id="474495782">
              <w:marLeft w:val="0"/>
              <w:marRight w:val="0"/>
              <w:marTop w:val="0"/>
              <w:marBottom w:val="0"/>
              <w:divBdr>
                <w:top w:val="none" w:sz="0" w:space="0" w:color="auto"/>
                <w:left w:val="none" w:sz="0" w:space="0" w:color="auto"/>
                <w:bottom w:val="none" w:sz="0" w:space="0" w:color="auto"/>
                <w:right w:val="none" w:sz="0" w:space="0" w:color="auto"/>
              </w:divBdr>
            </w:div>
            <w:div w:id="571964382">
              <w:marLeft w:val="0"/>
              <w:marRight w:val="0"/>
              <w:marTop w:val="0"/>
              <w:marBottom w:val="0"/>
              <w:divBdr>
                <w:top w:val="none" w:sz="0" w:space="0" w:color="auto"/>
                <w:left w:val="none" w:sz="0" w:space="0" w:color="auto"/>
                <w:bottom w:val="none" w:sz="0" w:space="0" w:color="auto"/>
                <w:right w:val="none" w:sz="0" w:space="0" w:color="auto"/>
              </w:divBdr>
            </w:div>
            <w:div w:id="646712554">
              <w:marLeft w:val="0"/>
              <w:marRight w:val="0"/>
              <w:marTop w:val="0"/>
              <w:marBottom w:val="0"/>
              <w:divBdr>
                <w:top w:val="none" w:sz="0" w:space="0" w:color="auto"/>
                <w:left w:val="none" w:sz="0" w:space="0" w:color="auto"/>
                <w:bottom w:val="none" w:sz="0" w:space="0" w:color="auto"/>
                <w:right w:val="none" w:sz="0" w:space="0" w:color="auto"/>
              </w:divBdr>
            </w:div>
            <w:div w:id="673997795">
              <w:marLeft w:val="0"/>
              <w:marRight w:val="0"/>
              <w:marTop w:val="0"/>
              <w:marBottom w:val="0"/>
              <w:divBdr>
                <w:top w:val="none" w:sz="0" w:space="0" w:color="auto"/>
                <w:left w:val="none" w:sz="0" w:space="0" w:color="auto"/>
                <w:bottom w:val="none" w:sz="0" w:space="0" w:color="auto"/>
                <w:right w:val="none" w:sz="0" w:space="0" w:color="auto"/>
              </w:divBdr>
            </w:div>
            <w:div w:id="682240804">
              <w:marLeft w:val="0"/>
              <w:marRight w:val="0"/>
              <w:marTop w:val="0"/>
              <w:marBottom w:val="0"/>
              <w:divBdr>
                <w:top w:val="none" w:sz="0" w:space="0" w:color="auto"/>
                <w:left w:val="none" w:sz="0" w:space="0" w:color="auto"/>
                <w:bottom w:val="none" w:sz="0" w:space="0" w:color="auto"/>
                <w:right w:val="none" w:sz="0" w:space="0" w:color="auto"/>
              </w:divBdr>
            </w:div>
            <w:div w:id="853610538">
              <w:marLeft w:val="0"/>
              <w:marRight w:val="0"/>
              <w:marTop w:val="0"/>
              <w:marBottom w:val="0"/>
              <w:divBdr>
                <w:top w:val="none" w:sz="0" w:space="0" w:color="auto"/>
                <w:left w:val="none" w:sz="0" w:space="0" w:color="auto"/>
                <w:bottom w:val="none" w:sz="0" w:space="0" w:color="auto"/>
                <w:right w:val="none" w:sz="0" w:space="0" w:color="auto"/>
              </w:divBdr>
            </w:div>
            <w:div w:id="884633430">
              <w:marLeft w:val="0"/>
              <w:marRight w:val="0"/>
              <w:marTop w:val="0"/>
              <w:marBottom w:val="0"/>
              <w:divBdr>
                <w:top w:val="none" w:sz="0" w:space="0" w:color="auto"/>
                <w:left w:val="none" w:sz="0" w:space="0" w:color="auto"/>
                <w:bottom w:val="none" w:sz="0" w:space="0" w:color="auto"/>
                <w:right w:val="none" w:sz="0" w:space="0" w:color="auto"/>
              </w:divBdr>
            </w:div>
            <w:div w:id="1079254259">
              <w:marLeft w:val="0"/>
              <w:marRight w:val="0"/>
              <w:marTop w:val="0"/>
              <w:marBottom w:val="0"/>
              <w:divBdr>
                <w:top w:val="none" w:sz="0" w:space="0" w:color="auto"/>
                <w:left w:val="none" w:sz="0" w:space="0" w:color="auto"/>
                <w:bottom w:val="none" w:sz="0" w:space="0" w:color="auto"/>
                <w:right w:val="none" w:sz="0" w:space="0" w:color="auto"/>
              </w:divBdr>
            </w:div>
            <w:div w:id="1138064143">
              <w:marLeft w:val="0"/>
              <w:marRight w:val="0"/>
              <w:marTop w:val="0"/>
              <w:marBottom w:val="0"/>
              <w:divBdr>
                <w:top w:val="none" w:sz="0" w:space="0" w:color="auto"/>
                <w:left w:val="none" w:sz="0" w:space="0" w:color="auto"/>
                <w:bottom w:val="none" w:sz="0" w:space="0" w:color="auto"/>
                <w:right w:val="none" w:sz="0" w:space="0" w:color="auto"/>
              </w:divBdr>
            </w:div>
            <w:div w:id="1183669638">
              <w:marLeft w:val="0"/>
              <w:marRight w:val="0"/>
              <w:marTop w:val="0"/>
              <w:marBottom w:val="0"/>
              <w:divBdr>
                <w:top w:val="none" w:sz="0" w:space="0" w:color="auto"/>
                <w:left w:val="none" w:sz="0" w:space="0" w:color="auto"/>
                <w:bottom w:val="none" w:sz="0" w:space="0" w:color="auto"/>
                <w:right w:val="none" w:sz="0" w:space="0" w:color="auto"/>
              </w:divBdr>
            </w:div>
            <w:div w:id="1287350078">
              <w:marLeft w:val="0"/>
              <w:marRight w:val="0"/>
              <w:marTop w:val="0"/>
              <w:marBottom w:val="0"/>
              <w:divBdr>
                <w:top w:val="none" w:sz="0" w:space="0" w:color="auto"/>
                <w:left w:val="none" w:sz="0" w:space="0" w:color="auto"/>
                <w:bottom w:val="none" w:sz="0" w:space="0" w:color="auto"/>
                <w:right w:val="none" w:sz="0" w:space="0" w:color="auto"/>
              </w:divBdr>
            </w:div>
            <w:div w:id="1319458550">
              <w:marLeft w:val="0"/>
              <w:marRight w:val="0"/>
              <w:marTop w:val="0"/>
              <w:marBottom w:val="0"/>
              <w:divBdr>
                <w:top w:val="none" w:sz="0" w:space="0" w:color="auto"/>
                <w:left w:val="none" w:sz="0" w:space="0" w:color="auto"/>
                <w:bottom w:val="none" w:sz="0" w:space="0" w:color="auto"/>
                <w:right w:val="none" w:sz="0" w:space="0" w:color="auto"/>
              </w:divBdr>
            </w:div>
            <w:div w:id="1355495285">
              <w:marLeft w:val="0"/>
              <w:marRight w:val="0"/>
              <w:marTop w:val="0"/>
              <w:marBottom w:val="0"/>
              <w:divBdr>
                <w:top w:val="none" w:sz="0" w:space="0" w:color="auto"/>
                <w:left w:val="none" w:sz="0" w:space="0" w:color="auto"/>
                <w:bottom w:val="none" w:sz="0" w:space="0" w:color="auto"/>
                <w:right w:val="none" w:sz="0" w:space="0" w:color="auto"/>
              </w:divBdr>
            </w:div>
            <w:div w:id="1667249541">
              <w:marLeft w:val="0"/>
              <w:marRight w:val="0"/>
              <w:marTop w:val="0"/>
              <w:marBottom w:val="0"/>
              <w:divBdr>
                <w:top w:val="none" w:sz="0" w:space="0" w:color="auto"/>
                <w:left w:val="none" w:sz="0" w:space="0" w:color="auto"/>
                <w:bottom w:val="none" w:sz="0" w:space="0" w:color="auto"/>
                <w:right w:val="none" w:sz="0" w:space="0" w:color="auto"/>
              </w:divBdr>
            </w:div>
            <w:div w:id="1742096307">
              <w:marLeft w:val="0"/>
              <w:marRight w:val="0"/>
              <w:marTop w:val="0"/>
              <w:marBottom w:val="0"/>
              <w:divBdr>
                <w:top w:val="none" w:sz="0" w:space="0" w:color="auto"/>
                <w:left w:val="none" w:sz="0" w:space="0" w:color="auto"/>
                <w:bottom w:val="none" w:sz="0" w:space="0" w:color="auto"/>
                <w:right w:val="none" w:sz="0" w:space="0" w:color="auto"/>
              </w:divBdr>
            </w:div>
            <w:div w:id="1970624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2764454">
      <w:bodyDiv w:val="1"/>
      <w:marLeft w:val="0"/>
      <w:marRight w:val="0"/>
      <w:marTop w:val="0"/>
      <w:marBottom w:val="0"/>
      <w:divBdr>
        <w:top w:val="none" w:sz="0" w:space="0" w:color="auto"/>
        <w:left w:val="none" w:sz="0" w:space="0" w:color="auto"/>
        <w:bottom w:val="none" w:sz="0" w:space="0" w:color="auto"/>
        <w:right w:val="none" w:sz="0" w:space="0" w:color="auto"/>
      </w:divBdr>
    </w:div>
    <w:div w:id="655231593">
      <w:bodyDiv w:val="1"/>
      <w:marLeft w:val="0"/>
      <w:marRight w:val="0"/>
      <w:marTop w:val="0"/>
      <w:marBottom w:val="0"/>
      <w:divBdr>
        <w:top w:val="none" w:sz="0" w:space="0" w:color="auto"/>
        <w:left w:val="none" w:sz="0" w:space="0" w:color="auto"/>
        <w:bottom w:val="none" w:sz="0" w:space="0" w:color="auto"/>
        <w:right w:val="none" w:sz="0" w:space="0" w:color="auto"/>
      </w:divBdr>
    </w:div>
    <w:div w:id="682443253">
      <w:bodyDiv w:val="1"/>
      <w:marLeft w:val="0"/>
      <w:marRight w:val="0"/>
      <w:marTop w:val="0"/>
      <w:marBottom w:val="0"/>
      <w:divBdr>
        <w:top w:val="none" w:sz="0" w:space="0" w:color="auto"/>
        <w:left w:val="none" w:sz="0" w:space="0" w:color="auto"/>
        <w:bottom w:val="none" w:sz="0" w:space="0" w:color="auto"/>
        <w:right w:val="none" w:sz="0" w:space="0" w:color="auto"/>
      </w:divBdr>
      <w:divsChild>
        <w:div w:id="987592890">
          <w:marLeft w:val="0"/>
          <w:marRight w:val="0"/>
          <w:marTop w:val="0"/>
          <w:marBottom w:val="0"/>
          <w:divBdr>
            <w:top w:val="none" w:sz="0" w:space="0" w:color="auto"/>
            <w:left w:val="none" w:sz="0" w:space="0" w:color="auto"/>
            <w:bottom w:val="none" w:sz="0" w:space="0" w:color="auto"/>
            <w:right w:val="none" w:sz="0" w:space="0" w:color="auto"/>
          </w:divBdr>
          <w:divsChild>
            <w:div w:id="1265766789">
              <w:marLeft w:val="0"/>
              <w:marRight w:val="0"/>
              <w:marTop w:val="0"/>
              <w:marBottom w:val="0"/>
              <w:divBdr>
                <w:top w:val="none" w:sz="0" w:space="0" w:color="auto"/>
                <w:left w:val="none" w:sz="0" w:space="0" w:color="auto"/>
                <w:bottom w:val="none" w:sz="0" w:space="0" w:color="auto"/>
                <w:right w:val="none" w:sz="0" w:space="0" w:color="auto"/>
              </w:divBdr>
              <w:divsChild>
                <w:div w:id="957838263">
                  <w:marLeft w:val="8355"/>
                  <w:marRight w:val="0"/>
                  <w:marTop w:val="0"/>
                  <w:marBottom w:val="0"/>
                  <w:divBdr>
                    <w:top w:val="none" w:sz="0" w:space="0" w:color="auto"/>
                    <w:left w:val="none" w:sz="0" w:space="0" w:color="auto"/>
                    <w:bottom w:val="none" w:sz="0" w:space="0" w:color="auto"/>
                    <w:right w:val="none" w:sz="0" w:space="0" w:color="auto"/>
                  </w:divBdr>
                  <w:divsChild>
                    <w:div w:id="1581981943">
                      <w:marLeft w:val="0"/>
                      <w:marRight w:val="0"/>
                      <w:marTop w:val="0"/>
                      <w:marBottom w:val="0"/>
                      <w:divBdr>
                        <w:top w:val="none" w:sz="0" w:space="0" w:color="auto"/>
                        <w:left w:val="none" w:sz="0" w:space="0" w:color="auto"/>
                        <w:bottom w:val="none" w:sz="0" w:space="0" w:color="auto"/>
                        <w:right w:val="none" w:sz="0" w:space="0" w:color="auto"/>
                      </w:divBdr>
                      <w:divsChild>
                        <w:div w:id="2065525440">
                          <w:marLeft w:val="0"/>
                          <w:marRight w:val="0"/>
                          <w:marTop w:val="0"/>
                          <w:marBottom w:val="0"/>
                          <w:divBdr>
                            <w:top w:val="none" w:sz="0" w:space="0" w:color="auto"/>
                            <w:left w:val="none" w:sz="0" w:space="0" w:color="auto"/>
                            <w:bottom w:val="none" w:sz="0" w:space="0" w:color="auto"/>
                            <w:right w:val="none" w:sz="0" w:space="0" w:color="auto"/>
                          </w:divBdr>
                          <w:divsChild>
                            <w:div w:id="1080757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04136184">
      <w:bodyDiv w:val="1"/>
      <w:marLeft w:val="0"/>
      <w:marRight w:val="0"/>
      <w:marTop w:val="0"/>
      <w:marBottom w:val="0"/>
      <w:divBdr>
        <w:top w:val="none" w:sz="0" w:space="0" w:color="auto"/>
        <w:left w:val="none" w:sz="0" w:space="0" w:color="auto"/>
        <w:bottom w:val="none" w:sz="0" w:space="0" w:color="auto"/>
        <w:right w:val="none" w:sz="0" w:space="0" w:color="auto"/>
      </w:divBdr>
    </w:div>
    <w:div w:id="712920515">
      <w:bodyDiv w:val="1"/>
      <w:marLeft w:val="0"/>
      <w:marRight w:val="0"/>
      <w:marTop w:val="0"/>
      <w:marBottom w:val="0"/>
      <w:divBdr>
        <w:top w:val="none" w:sz="0" w:space="0" w:color="auto"/>
        <w:left w:val="none" w:sz="0" w:space="0" w:color="auto"/>
        <w:bottom w:val="none" w:sz="0" w:space="0" w:color="auto"/>
        <w:right w:val="none" w:sz="0" w:space="0" w:color="auto"/>
      </w:divBdr>
    </w:div>
    <w:div w:id="715469703">
      <w:bodyDiv w:val="1"/>
      <w:marLeft w:val="0"/>
      <w:marRight w:val="0"/>
      <w:marTop w:val="0"/>
      <w:marBottom w:val="0"/>
      <w:divBdr>
        <w:top w:val="none" w:sz="0" w:space="0" w:color="auto"/>
        <w:left w:val="none" w:sz="0" w:space="0" w:color="auto"/>
        <w:bottom w:val="none" w:sz="0" w:space="0" w:color="auto"/>
        <w:right w:val="none" w:sz="0" w:space="0" w:color="auto"/>
      </w:divBdr>
    </w:div>
    <w:div w:id="737751759">
      <w:bodyDiv w:val="1"/>
      <w:marLeft w:val="0"/>
      <w:marRight w:val="0"/>
      <w:marTop w:val="0"/>
      <w:marBottom w:val="0"/>
      <w:divBdr>
        <w:top w:val="none" w:sz="0" w:space="0" w:color="auto"/>
        <w:left w:val="none" w:sz="0" w:space="0" w:color="auto"/>
        <w:bottom w:val="none" w:sz="0" w:space="0" w:color="auto"/>
        <w:right w:val="none" w:sz="0" w:space="0" w:color="auto"/>
      </w:divBdr>
    </w:div>
    <w:div w:id="851988795">
      <w:bodyDiv w:val="1"/>
      <w:marLeft w:val="0"/>
      <w:marRight w:val="0"/>
      <w:marTop w:val="0"/>
      <w:marBottom w:val="0"/>
      <w:divBdr>
        <w:top w:val="none" w:sz="0" w:space="0" w:color="auto"/>
        <w:left w:val="none" w:sz="0" w:space="0" w:color="auto"/>
        <w:bottom w:val="none" w:sz="0" w:space="0" w:color="auto"/>
        <w:right w:val="none" w:sz="0" w:space="0" w:color="auto"/>
      </w:divBdr>
      <w:divsChild>
        <w:div w:id="512261467">
          <w:marLeft w:val="0"/>
          <w:marRight w:val="0"/>
          <w:marTop w:val="0"/>
          <w:marBottom w:val="0"/>
          <w:divBdr>
            <w:top w:val="none" w:sz="0" w:space="0" w:color="auto"/>
            <w:left w:val="none" w:sz="0" w:space="0" w:color="auto"/>
            <w:bottom w:val="none" w:sz="0" w:space="0" w:color="auto"/>
            <w:right w:val="none" w:sz="0" w:space="0" w:color="auto"/>
          </w:divBdr>
          <w:divsChild>
            <w:div w:id="1792279456">
              <w:marLeft w:val="0"/>
              <w:marRight w:val="0"/>
              <w:marTop w:val="0"/>
              <w:marBottom w:val="0"/>
              <w:divBdr>
                <w:top w:val="none" w:sz="0" w:space="0" w:color="auto"/>
                <w:left w:val="none" w:sz="0" w:space="0" w:color="auto"/>
                <w:bottom w:val="none" w:sz="0" w:space="0" w:color="auto"/>
                <w:right w:val="none" w:sz="0" w:space="0" w:color="auto"/>
              </w:divBdr>
              <w:divsChild>
                <w:div w:id="157889699">
                  <w:marLeft w:val="0"/>
                  <w:marRight w:val="0"/>
                  <w:marTop w:val="0"/>
                  <w:marBottom w:val="0"/>
                  <w:divBdr>
                    <w:top w:val="none" w:sz="0" w:space="0" w:color="auto"/>
                    <w:left w:val="none" w:sz="0" w:space="0" w:color="auto"/>
                    <w:bottom w:val="none" w:sz="0" w:space="0" w:color="auto"/>
                    <w:right w:val="none" w:sz="0" w:space="0" w:color="auto"/>
                  </w:divBdr>
                  <w:divsChild>
                    <w:div w:id="109277556">
                      <w:marLeft w:val="0"/>
                      <w:marRight w:val="0"/>
                      <w:marTop w:val="0"/>
                      <w:marBottom w:val="0"/>
                      <w:divBdr>
                        <w:top w:val="none" w:sz="0" w:space="0" w:color="auto"/>
                        <w:left w:val="none" w:sz="0" w:space="0" w:color="auto"/>
                        <w:bottom w:val="none" w:sz="0" w:space="0" w:color="auto"/>
                        <w:right w:val="none" w:sz="0" w:space="0" w:color="auto"/>
                      </w:divBdr>
                      <w:divsChild>
                        <w:div w:id="1932658412">
                          <w:marLeft w:val="0"/>
                          <w:marRight w:val="0"/>
                          <w:marTop w:val="0"/>
                          <w:marBottom w:val="0"/>
                          <w:divBdr>
                            <w:top w:val="none" w:sz="0" w:space="0" w:color="auto"/>
                            <w:left w:val="none" w:sz="0" w:space="0" w:color="auto"/>
                            <w:bottom w:val="none" w:sz="0" w:space="0" w:color="auto"/>
                            <w:right w:val="none" w:sz="0" w:space="0" w:color="auto"/>
                          </w:divBdr>
                          <w:divsChild>
                            <w:div w:id="7019007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6353308">
      <w:bodyDiv w:val="1"/>
      <w:marLeft w:val="0"/>
      <w:marRight w:val="0"/>
      <w:marTop w:val="0"/>
      <w:marBottom w:val="0"/>
      <w:divBdr>
        <w:top w:val="none" w:sz="0" w:space="0" w:color="auto"/>
        <w:left w:val="none" w:sz="0" w:space="0" w:color="auto"/>
        <w:bottom w:val="none" w:sz="0" w:space="0" w:color="auto"/>
        <w:right w:val="none" w:sz="0" w:space="0" w:color="auto"/>
      </w:divBdr>
    </w:div>
    <w:div w:id="877358757">
      <w:bodyDiv w:val="1"/>
      <w:marLeft w:val="0"/>
      <w:marRight w:val="0"/>
      <w:marTop w:val="0"/>
      <w:marBottom w:val="0"/>
      <w:divBdr>
        <w:top w:val="none" w:sz="0" w:space="0" w:color="auto"/>
        <w:left w:val="none" w:sz="0" w:space="0" w:color="auto"/>
        <w:bottom w:val="none" w:sz="0" w:space="0" w:color="auto"/>
        <w:right w:val="none" w:sz="0" w:space="0" w:color="auto"/>
      </w:divBdr>
      <w:divsChild>
        <w:div w:id="1293094914">
          <w:marLeft w:val="0"/>
          <w:marRight w:val="0"/>
          <w:marTop w:val="0"/>
          <w:marBottom w:val="0"/>
          <w:divBdr>
            <w:top w:val="none" w:sz="0" w:space="0" w:color="auto"/>
            <w:left w:val="none" w:sz="0" w:space="0" w:color="auto"/>
            <w:bottom w:val="none" w:sz="0" w:space="0" w:color="auto"/>
            <w:right w:val="none" w:sz="0" w:space="0" w:color="auto"/>
          </w:divBdr>
          <w:divsChild>
            <w:div w:id="1503348649">
              <w:marLeft w:val="0"/>
              <w:marRight w:val="0"/>
              <w:marTop w:val="0"/>
              <w:marBottom w:val="0"/>
              <w:divBdr>
                <w:top w:val="none" w:sz="0" w:space="0" w:color="auto"/>
                <w:left w:val="none" w:sz="0" w:space="0" w:color="auto"/>
                <w:bottom w:val="none" w:sz="0" w:space="0" w:color="auto"/>
                <w:right w:val="none" w:sz="0" w:space="0" w:color="auto"/>
              </w:divBdr>
              <w:divsChild>
                <w:div w:id="975452290">
                  <w:marLeft w:val="8355"/>
                  <w:marRight w:val="0"/>
                  <w:marTop w:val="0"/>
                  <w:marBottom w:val="0"/>
                  <w:divBdr>
                    <w:top w:val="none" w:sz="0" w:space="0" w:color="auto"/>
                    <w:left w:val="none" w:sz="0" w:space="0" w:color="auto"/>
                    <w:bottom w:val="none" w:sz="0" w:space="0" w:color="auto"/>
                    <w:right w:val="none" w:sz="0" w:space="0" w:color="auto"/>
                  </w:divBdr>
                  <w:divsChild>
                    <w:div w:id="1800420051">
                      <w:marLeft w:val="0"/>
                      <w:marRight w:val="0"/>
                      <w:marTop w:val="0"/>
                      <w:marBottom w:val="0"/>
                      <w:divBdr>
                        <w:top w:val="none" w:sz="0" w:space="0" w:color="auto"/>
                        <w:left w:val="none" w:sz="0" w:space="0" w:color="auto"/>
                        <w:bottom w:val="none" w:sz="0" w:space="0" w:color="auto"/>
                        <w:right w:val="none" w:sz="0" w:space="0" w:color="auto"/>
                      </w:divBdr>
                      <w:divsChild>
                        <w:div w:id="1221094667">
                          <w:marLeft w:val="0"/>
                          <w:marRight w:val="0"/>
                          <w:marTop w:val="0"/>
                          <w:marBottom w:val="0"/>
                          <w:divBdr>
                            <w:top w:val="none" w:sz="0" w:space="0" w:color="auto"/>
                            <w:left w:val="none" w:sz="0" w:space="0" w:color="auto"/>
                            <w:bottom w:val="none" w:sz="0" w:space="0" w:color="auto"/>
                            <w:right w:val="none" w:sz="0" w:space="0" w:color="auto"/>
                          </w:divBdr>
                          <w:divsChild>
                            <w:div w:id="576785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397059">
      <w:bodyDiv w:val="1"/>
      <w:marLeft w:val="0"/>
      <w:marRight w:val="0"/>
      <w:marTop w:val="0"/>
      <w:marBottom w:val="0"/>
      <w:divBdr>
        <w:top w:val="none" w:sz="0" w:space="0" w:color="auto"/>
        <w:left w:val="none" w:sz="0" w:space="0" w:color="auto"/>
        <w:bottom w:val="none" w:sz="0" w:space="0" w:color="auto"/>
        <w:right w:val="none" w:sz="0" w:space="0" w:color="auto"/>
      </w:divBdr>
    </w:div>
    <w:div w:id="961616147">
      <w:bodyDiv w:val="1"/>
      <w:marLeft w:val="0"/>
      <w:marRight w:val="0"/>
      <w:marTop w:val="0"/>
      <w:marBottom w:val="0"/>
      <w:divBdr>
        <w:top w:val="none" w:sz="0" w:space="0" w:color="auto"/>
        <w:left w:val="none" w:sz="0" w:space="0" w:color="auto"/>
        <w:bottom w:val="none" w:sz="0" w:space="0" w:color="auto"/>
        <w:right w:val="none" w:sz="0" w:space="0" w:color="auto"/>
      </w:divBdr>
    </w:div>
    <w:div w:id="973363609">
      <w:bodyDiv w:val="1"/>
      <w:marLeft w:val="0"/>
      <w:marRight w:val="0"/>
      <w:marTop w:val="0"/>
      <w:marBottom w:val="0"/>
      <w:divBdr>
        <w:top w:val="none" w:sz="0" w:space="0" w:color="auto"/>
        <w:left w:val="none" w:sz="0" w:space="0" w:color="auto"/>
        <w:bottom w:val="none" w:sz="0" w:space="0" w:color="auto"/>
        <w:right w:val="none" w:sz="0" w:space="0" w:color="auto"/>
      </w:divBdr>
      <w:divsChild>
        <w:div w:id="1540362710">
          <w:marLeft w:val="0"/>
          <w:marRight w:val="0"/>
          <w:marTop w:val="0"/>
          <w:marBottom w:val="0"/>
          <w:divBdr>
            <w:top w:val="none" w:sz="0" w:space="0" w:color="auto"/>
            <w:left w:val="none" w:sz="0" w:space="0" w:color="auto"/>
            <w:bottom w:val="none" w:sz="0" w:space="0" w:color="auto"/>
            <w:right w:val="none" w:sz="0" w:space="0" w:color="auto"/>
          </w:divBdr>
          <w:divsChild>
            <w:div w:id="394283459">
              <w:marLeft w:val="0"/>
              <w:marRight w:val="0"/>
              <w:marTop w:val="0"/>
              <w:marBottom w:val="0"/>
              <w:divBdr>
                <w:top w:val="none" w:sz="0" w:space="0" w:color="auto"/>
                <w:left w:val="none" w:sz="0" w:space="0" w:color="auto"/>
                <w:bottom w:val="none" w:sz="0" w:space="0" w:color="auto"/>
                <w:right w:val="none" w:sz="0" w:space="0" w:color="auto"/>
              </w:divBdr>
              <w:divsChild>
                <w:div w:id="1364787394">
                  <w:marLeft w:val="8355"/>
                  <w:marRight w:val="0"/>
                  <w:marTop w:val="0"/>
                  <w:marBottom w:val="0"/>
                  <w:divBdr>
                    <w:top w:val="none" w:sz="0" w:space="0" w:color="auto"/>
                    <w:left w:val="none" w:sz="0" w:space="0" w:color="auto"/>
                    <w:bottom w:val="none" w:sz="0" w:space="0" w:color="auto"/>
                    <w:right w:val="none" w:sz="0" w:space="0" w:color="auto"/>
                  </w:divBdr>
                  <w:divsChild>
                    <w:div w:id="895698300">
                      <w:marLeft w:val="0"/>
                      <w:marRight w:val="0"/>
                      <w:marTop w:val="0"/>
                      <w:marBottom w:val="0"/>
                      <w:divBdr>
                        <w:top w:val="none" w:sz="0" w:space="0" w:color="auto"/>
                        <w:left w:val="none" w:sz="0" w:space="0" w:color="auto"/>
                        <w:bottom w:val="none" w:sz="0" w:space="0" w:color="auto"/>
                        <w:right w:val="none" w:sz="0" w:space="0" w:color="auto"/>
                      </w:divBdr>
                      <w:divsChild>
                        <w:div w:id="807282055">
                          <w:marLeft w:val="0"/>
                          <w:marRight w:val="0"/>
                          <w:marTop w:val="0"/>
                          <w:marBottom w:val="0"/>
                          <w:divBdr>
                            <w:top w:val="none" w:sz="0" w:space="0" w:color="auto"/>
                            <w:left w:val="none" w:sz="0" w:space="0" w:color="auto"/>
                            <w:bottom w:val="none" w:sz="0" w:space="0" w:color="auto"/>
                            <w:right w:val="none" w:sz="0" w:space="0" w:color="auto"/>
                          </w:divBdr>
                          <w:divsChild>
                            <w:div w:id="1965235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930567">
      <w:bodyDiv w:val="1"/>
      <w:marLeft w:val="0"/>
      <w:marRight w:val="0"/>
      <w:marTop w:val="0"/>
      <w:marBottom w:val="0"/>
      <w:divBdr>
        <w:top w:val="none" w:sz="0" w:space="0" w:color="auto"/>
        <w:left w:val="none" w:sz="0" w:space="0" w:color="auto"/>
        <w:bottom w:val="none" w:sz="0" w:space="0" w:color="auto"/>
        <w:right w:val="none" w:sz="0" w:space="0" w:color="auto"/>
      </w:divBdr>
      <w:divsChild>
        <w:div w:id="2142653907">
          <w:marLeft w:val="0"/>
          <w:marRight w:val="0"/>
          <w:marTop w:val="0"/>
          <w:marBottom w:val="0"/>
          <w:divBdr>
            <w:top w:val="none" w:sz="0" w:space="0" w:color="auto"/>
            <w:left w:val="none" w:sz="0" w:space="0" w:color="auto"/>
            <w:bottom w:val="none" w:sz="0" w:space="0" w:color="auto"/>
            <w:right w:val="none" w:sz="0" w:space="0" w:color="auto"/>
          </w:divBdr>
          <w:divsChild>
            <w:div w:id="1742291118">
              <w:marLeft w:val="0"/>
              <w:marRight w:val="0"/>
              <w:marTop w:val="0"/>
              <w:marBottom w:val="0"/>
              <w:divBdr>
                <w:top w:val="none" w:sz="0" w:space="0" w:color="auto"/>
                <w:left w:val="none" w:sz="0" w:space="0" w:color="auto"/>
                <w:bottom w:val="none" w:sz="0" w:space="0" w:color="auto"/>
                <w:right w:val="none" w:sz="0" w:space="0" w:color="auto"/>
              </w:divBdr>
              <w:divsChild>
                <w:div w:id="1286808748">
                  <w:marLeft w:val="8355"/>
                  <w:marRight w:val="0"/>
                  <w:marTop w:val="0"/>
                  <w:marBottom w:val="0"/>
                  <w:divBdr>
                    <w:top w:val="none" w:sz="0" w:space="0" w:color="auto"/>
                    <w:left w:val="none" w:sz="0" w:space="0" w:color="auto"/>
                    <w:bottom w:val="none" w:sz="0" w:space="0" w:color="auto"/>
                    <w:right w:val="none" w:sz="0" w:space="0" w:color="auto"/>
                  </w:divBdr>
                  <w:divsChild>
                    <w:div w:id="744570950">
                      <w:marLeft w:val="0"/>
                      <w:marRight w:val="0"/>
                      <w:marTop w:val="0"/>
                      <w:marBottom w:val="0"/>
                      <w:divBdr>
                        <w:top w:val="none" w:sz="0" w:space="0" w:color="auto"/>
                        <w:left w:val="none" w:sz="0" w:space="0" w:color="auto"/>
                        <w:bottom w:val="none" w:sz="0" w:space="0" w:color="auto"/>
                        <w:right w:val="none" w:sz="0" w:space="0" w:color="auto"/>
                      </w:divBdr>
                      <w:divsChild>
                        <w:div w:id="1348214093">
                          <w:marLeft w:val="0"/>
                          <w:marRight w:val="0"/>
                          <w:marTop w:val="0"/>
                          <w:marBottom w:val="0"/>
                          <w:divBdr>
                            <w:top w:val="none" w:sz="0" w:space="0" w:color="auto"/>
                            <w:left w:val="none" w:sz="0" w:space="0" w:color="auto"/>
                            <w:bottom w:val="none" w:sz="0" w:space="0" w:color="auto"/>
                            <w:right w:val="none" w:sz="0" w:space="0" w:color="auto"/>
                          </w:divBdr>
                          <w:divsChild>
                            <w:div w:id="1243684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3179275">
      <w:bodyDiv w:val="1"/>
      <w:marLeft w:val="0"/>
      <w:marRight w:val="0"/>
      <w:marTop w:val="0"/>
      <w:marBottom w:val="0"/>
      <w:divBdr>
        <w:top w:val="none" w:sz="0" w:space="0" w:color="auto"/>
        <w:left w:val="none" w:sz="0" w:space="0" w:color="auto"/>
        <w:bottom w:val="none" w:sz="0" w:space="0" w:color="auto"/>
        <w:right w:val="none" w:sz="0" w:space="0" w:color="auto"/>
      </w:divBdr>
    </w:div>
    <w:div w:id="1221332808">
      <w:bodyDiv w:val="1"/>
      <w:marLeft w:val="0"/>
      <w:marRight w:val="0"/>
      <w:marTop w:val="0"/>
      <w:marBottom w:val="0"/>
      <w:divBdr>
        <w:top w:val="none" w:sz="0" w:space="0" w:color="auto"/>
        <w:left w:val="none" w:sz="0" w:space="0" w:color="auto"/>
        <w:bottom w:val="none" w:sz="0" w:space="0" w:color="auto"/>
        <w:right w:val="none" w:sz="0" w:space="0" w:color="auto"/>
      </w:divBdr>
    </w:div>
    <w:div w:id="1225920157">
      <w:bodyDiv w:val="1"/>
      <w:marLeft w:val="0"/>
      <w:marRight w:val="0"/>
      <w:marTop w:val="0"/>
      <w:marBottom w:val="0"/>
      <w:divBdr>
        <w:top w:val="none" w:sz="0" w:space="0" w:color="auto"/>
        <w:left w:val="none" w:sz="0" w:space="0" w:color="auto"/>
        <w:bottom w:val="none" w:sz="0" w:space="0" w:color="auto"/>
        <w:right w:val="none" w:sz="0" w:space="0" w:color="auto"/>
      </w:divBdr>
      <w:divsChild>
        <w:div w:id="1783525269">
          <w:marLeft w:val="0"/>
          <w:marRight w:val="0"/>
          <w:marTop w:val="0"/>
          <w:marBottom w:val="0"/>
          <w:divBdr>
            <w:top w:val="none" w:sz="0" w:space="0" w:color="auto"/>
            <w:left w:val="none" w:sz="0" w:space="0" w:color="auto"/>
            <w:bottom w:val="none" w:sz="0" w:space="0" w:color="auto"/>
            <w:right w:val="none" w:sz="0" w:space="0" w:color="auto"/>
          </w:divBdr>
          <w:divsChild>
            <w:div w:id="1768695400">
              <w:marLeft w:val="0"/>
              <w:marRight w:val="0"/>
              <w:marTop w:val="0"/>
              <w:marBottom w:val="0"/>
              <w:divBdr>
                <w:top w:val="none" w:sz="0" w:space="0" w:color="auto"/>
                <w:left w:val="none" w:sz="0" w:space="0" w:color="auto"/>
                <w:bottom w:val="none" w:sz="0" w:space="0" w:color="auto"/>
                <w:right w:val="none" w:sz="0" w:space="0" w:color="auto"/>
              </w:divBdr>
              <w:divsChild>
                <w:div w:id="204215710">
                  <w:marLeft w:val="8355"/>
                  <w:marRight w:val="0"/>
                  <w:marTop w:val="0"/>
                  <w:marBottom w:val="0"/>
                  <w:divBdr>
                    <w:top w:val="none" w:sz="0" w:space="0" w:color="auto"/>
                    <w:left w:val="none" w:sz="0" w:space="0" w:color="auto"/>
                    <w:bottom w:val="none" w:sz="0" w:space="0" w:color="auto"/>
                    <w:right w:val="none" w:sz="0" w:space="0" w:color="auto"/>
                  </w:divBdr>
                  <w:divsChild>
                    <w:div w:id="1836607596">
                      <w:marLeft w:val="0"/>
                      <w:marRight w:val="0"/>
                      <w:marTop w:val="0"/>
                      <w:marBottom w:val="0"/>
                      <w:divBdr>
                        <w:top w:val="none" w:sz="0" w:space="0" w:color="auto"/>
                        <w:left w:val="none" w:sz="0" w:space="0" w:color="auto"/>
                        <w:bottom w:val="none" w:sz="0" w:space="0" w:color="auto"/>
                        <w:right w:val="none" w:sz="0" w:space="0" w:color="auto"/>
                      </w:divBdr>
                      <w:divsChild>
                        <w:div w:id="1899970457">
                          <w:marLeft w:val="0"/>
                          <w:marRight w:val="0"/>
                          <w:marTop w:val="0"/>
                          <w:marBottom w:val="0"/>
                          <w:divBdr>
                            <w:top w:val="none" w:sz="0" w:space="0" w:color="auto"/>
                            <w:left w:val="none" w:sz="0" w:space="0" w:color="auto"/>
                            <w:bottom w:val="none" w:sz="0" w:space="0" w:color="auto"/>
                            <w:right w:val="none" w:sz="0" w:space="0" w:color="auto"/>
                          </w:divBdr>
                          <w:divsChild>
                            <w:div w:id="936328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93637566">
      <w:bodyDiv w:val="1"/>
      <w:marLeft w:val="0"/>
      <w:marRight w:val="0"/>
      <w:marTop w:val="0"/>
      <w:marBottom w:val="0"/>
      <w:divBdr>
        <w:top w:val="none" w:sz="0" w:space="0" w:color="auto"/>
        <w:left w:val="none" w:sz="0" w:space="0" w:color="auto"/>
        <w:bottom w:val="none" w:sz="0" w:space="0" w:color="auto"/>
        <w:right w:val="none" w:sz="0" w:space="0" w:color="auto"/>
      </w:divBdr>
    </w:div>
    <w:div w:id="1305814753">
      <w:bodyDiv w:val="1"/>
      <w:marLeft w:val="0"/>
      <w:marRight w:val="0"/>
      <w:marTop w:val="0"/>
      <w:marBottom w:val="0"/>
      <w:divBdr>
        <w:top w:val="none" w:sz="0" w:space="0" w:color="auto"/>
        <w:left w:val="none" w:sz="0" w:space="0" w:color="auto"/>
        <w:bottom w:val="none" w:sz="0" w:space="0" w:color="auto"/>
        <w:right w:val="none" w:sz="0" w:space="0" w:color="auto"/>
      </w:divBdr>
    </w:div>
    <w:div w:id="1338076847">
      <w:bodyDiv w:val="1"/>
      <w:marLeft w:val="0"/>
      <w:marRight w:val="0"/>
      <w:marTop w:val="0"/>
      <w:marBottom w:val="0"/>
      <w:divBdr>
        <w:top w:val="none" w:sz="0" w:space="0" w:color="auto"/>
        <w:left w:val="none" w:sz="0" w:space="0" w:color="auto"/>
        <w:bottom w:val="none" w:sz="0" w:space="0" w:color="auto"/>
        <w:right w:val="none" w:sz="0" w:space="0" w:color="auto"/>
      </w:divBdr>
      <w:divsChild>
        <w:div w:id="1657607075">
          <w:marLeft w:val="0"/>
          <w:marRight w:val="0"/>
          <w:marTop w:val="0"/>
          <w:marBottom w:val="0"/>
          <w:divBdr>
            <w:top w:val="none" w:sz="0" w:space="0" w:color="auto"/>
            <w:left w:val="none" w:sz="0" w:space="0" w:color="auto"/>
            <w:bottom w:val="none" w:sz="0" w:space="0" w:color="auto"/>
            <w:right w:val="none" w:sz="0" w:space="0" w:color="auto"/>
          </w:divBdr>
          <w:divsChild>
            <w:div w:id="1604260454">
              <w:marLeft w:val="0"/>
              <w:marRight w:val="0"/>
              <w:marTop w:val="0"/>
              <w:marBottom w:val="0"/>
              <w:divBdr>
                <w:top w:val="none" w:sz="0" w:space="0" w:color="auto"/>
                <w:left w:val="none" w:sz="0" w:space="0" w:color="auto"/>
                <w:bottom w:val="none" w:sz="0" w:space="0" w:color="auto"/>
                <w:right w:val="none" w:sz="0" w:space="0" w:color="auto"/>
              </w:divBdr>
              <w:divsChild>
                <w:div w:id="729887536">
                  <w:marLeft w:val="0"/>
                  <w:marRight w:val="0"/>
                  <w:marTop w:val="0"/>
                  <w:marBottom w:val="0"/>
                  <w:divBdr>
                    <w:top w:val="none" w:sz="0" w:space="0" w:color="auto"/>
                    <w:left w:val="none" w:sz="0" w:space="0" w:color="auto"/>
                    <w:bottom w:val="none" w:sz="0" w:space="0" w:color="auto"/>
                    <w:right w:val="none" w:sz="0" w:space="0" w:color="auto"/>
                  </w:divBdr>
                  <w:divsChild>
                    <w:div w:id="931934449">
                      <w:marLeft w:val="0"/>
                      <w:marRight w:val="0"/>
                      <w:marTop w:val="0"/>
                      <w:marBottom w:val="0"/>
                      <w:divBdr>
                        <w:top w:val="none" w:sz="0" w:space="0" w:color="auto"/>
                        <w:left w:val="none" w:sz="0" w:space="0" w:color="auto"/>
                        <w:bottom w:val="none" w:sz="0" w:space="0" w:color="auto"/>
                        <w:right w:val="none" w:sz="0" w:space="0" w:color="auto"/>
                      </w:divBdr>
                      <w:divsChild>
                        <w:div w:id="1206528184">
                          <w:marLeft w:val="0"/>
                          <w:marRight w:val="0"/>
                          <w:marTop w:val="0"/>
                          <w:marBottom w:val="0"/>
                          <w:divBdr>
                            <w:top w:val="none" w:sz="0" w:space="0" w:color="auto"/>
                            <w:left w:val="none" w:sz="0" w:space="0" w:color="auto"/>
                            <w:bottom w:val="none" w:sz="0" w:space="0" w:color="auto"/>
                            <w:right w:val="none" w:sz="0" w:space="0" w:color="auto"/>
                          </w:divBdr>
                          <w:divsChild>
                            <w:div w:id="3658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0396864">
      <w:bodyDiv w:val="1"/>
      <w:marLeft w:val="0"/>
      <w:marRight w:val="0"/>
      <w:marTop w:val="0"/>
      <w:marBottom w:val="0"/>
      <w:divBdr>
        <w:top w:val="none" w:sz="0" w:space="0" w:color="auto"/>
        <w:left w:val="none" w:sz="0" w:space="0" w:color="auto"/>
        <w:bottom w:val="none" w:sz="0" w:space="0" w:color="auto"/>
        <w:right w:val="none" w:sz="0" w:space="0" w:color="auto"/>
      </w:divBdr>
      <w:divsChild>
        <w:div w:id="1534030338">
          <w:marLeft w:val="0"/>
          <w:marRight w:val="0"/>
          <w:marTop w:val="0"/>
          <w:marBottom w:val="0"/>
          <w:divBdr>
            <w:top w:val="none" w:sz="0" w:space="0" w:color="auto"/>
            <w:left w:val="none" w:sz="0" w:space="0" w:color="auto"/>
            <w:bottom w:val="none" w:sz="0" w:space="0" w:color="auto"/>
            <w:right w:val="none" w:sz="0" w:space="0" w:color="auto"/>
          </w:divBdr>
          <w:divsChild>
            <w:div w:id="1669866381">
              <w:marLeft w:val="0"/>
              <w:marRight w:val="0"/>
              <w:marTop w:val="0"/>
              <w:marBottom w:val="0"/>
              <w:divBdr>
                <w:top w:val="none" w:sz="0" w:space="0" w:color="auto"/>
                <w:left w:val="none" w:sz="0" w:space="0" w:color="auto"/>
                <w:bottom w:val="none" w:sz="0" w:space="0" w:color="auto"/>
                <w:right w:val="none" w:sz="0" w:space="0" w:color="auto"/>
              </w:divBdr>
              <w:divsChild>
                <w:div w:id="745613794">
                  <w:marLeft w:val="0"/>
                  <w:marRight w:val="0"/>
                  <w:marTop w:val="0"/>
                  <w:marBottom w:val="0"/>
                  <w:divBdr>
                    <w:top w:val="none" w:sz="0" w:space="0" w:color="auto"/>
                    <w:left w:val="none" w:sz="0" w:space="0" w:color="auto"/>
                    <w:bottom w:val="none" w:sz="0" w:space="0" w:color="auto"/>
                    <w:right w:val="none" w:sz="0" w:space="0" w:color="auto"/>
                  </w:divBdr>
                  <w:divsChild>
                    <w:div w:id="380986506">
                      <w:marLeft w:val="0"/>
                      <w:marRight w:val="0"/>
                      <w:marTop w:val="0"/>
                      <w:marBottom w:val="0"/>
                      <w:divBdr>
                        <w:top w:val="none" w:sz="0" w:space="0" w:color="auto"/>
                        <w:left w:val="none" w:sz="0" w:space="0" w:color="auto"/>
                        <w:bottom w:val="none" w:sz="0" w:space="0" w:color="auto"/>
                        <w:right w:val="none" w:sz="0" w:space="0" w:color="auto"/>
                      </w:divBdr>
                      <w:divsChild>
                        <w:div w:id="124468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1316338">
      <w:bodyDiv w:val="1"/>
      <w:marLeft w:val="0"/>
      <w:marRight w:val="0"/>
      <w:marTop w:val="0"/>
      <w:marBottom w:val="0"/>
      <w:divBdr>
        <w:top w:val="none" w:sz="0" w:space="0" w:color="auto"/>
        <w:left w:val="none" w:sz="0" w:space="0" w:color="auto"/>
        <w:bottom w:val="none" w:sz="0" w:space="0" w:color="auto"/>
        <w:right w:val="none" w:sz="0" w:space="0" w:color="auto"/>
      </w:divBdr>
      <w:divsChild>
        <w:div w:id="414518745">
          <w:marLeft w:val="0"/>
          <w:marRight w:val="0"/>
          <w:marTop w:val="0"/>
          <w:marBottom w:val="0"/>
          <w:divBdr>
            <w:top w:val="none" w:sz="0" w:space="0" w:color="auto"/>
            <w:left w:val="none" w:sz="0" w:space="0" w:color="auto"/>
            <w:bottom w:val="none" w:sz="0" w:space="0" w:color="auto"/>
            <w:right w:val="none" w:sz="0" w:space="0" w:color="auto"/>
          </w:divBdr>
          <w:divsChild>
            <w:div w:id="1494643994">
              <w:marLeft w:val="0"/>
              <w:marRight w:val="0"/>
              <w:marTop w:val="0"/>
              <w:marBottom w:val="0"/>
              <w:divBdr>
                <w:top w:val="none" w:sz="0" w:space="0" w:color="auto"/>
                <w:left w:val="none" w:sz="0" w:space="0" w:color="auto"/>
                <w:bottom w:val="none" w:sz="0" w:space="0" w:color="auto"/>
                <w:right w:val="none" w:sz="0" w:space="0" w:color="auto"/>
              </w:divBdr>
              <w:divsChild>
                <w:div w:id="3480393">
                  <w:marLeft w:val="8355"/>
                  <w:marRight w:val="0"/>
                  <w:marTop w:val="0"/>
                  <w:marBottom w:val="0"/>
                  <w:divBdr>
                    <w:top w:val="none" w:sz="0" w:space="0" w:color="auto"/>
                    <w:left w:val="none" w:sz="0" w:space="0" w:color="auto"/>
                    <w:bottom w:val="none" w:sz="0" w:space="0" w:color="auto"/>
                    <w:right w:val="none" w:sz="0" w:space="0" w:color="auto"/>
                  </w:divBdr>
                  <w:divsChild>
                    <w:div w:id="1749882731">
                      <w:marLeft w:val="0"/>
                      <w:marRight w:val="0"/>
                      <w:marTop w:val="0"/>
                      <w:marBottom w:val="0"/>
                      <w:divBdr>
                        <w:top w:val="none" w:sz="0" w:space="0" w:color="auto"/>
                        <w:left w:val="none" w:sz="0" w:space="0" w:color="auto"/>
                        <w:bottom w:val="none" w:sz="0" w:space="0" w:color="auto"/>
                        <w:right w:val="none" w:sz="0" w:space="0" w:color="auto"/>
                      </w:divBdr>
                      <w:divsChild>
                        <w:div w:id="11734223">
                          <w:marLeft w:val="0"/>
                          <w:marRight w:val="0"/>
                          <w:marTop w:val="0"/>
                          <w:marBottom w:val="0"/>
                          <w:divBdr>
                            <w:top w:val="none" w:sz="0" w:space="0" w:color="auto"/>
                            <w:left w:val="none" w:sz="0" w:space="0" w:color="auto"/>
                            <w:bottom w:val="none" w:sz="0" w:space="0" w:color="auto"/>
                            <w:right w:val="none" w:sz="0" w:space="0" w:color="auto"/>
                          </w:divBdr>
                          <w:divsChild>
                            <w:div w:id="7282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9856345">
      <w:bodyDiv w:val="1"/>
      <w:marLeft w:val="0"/>
      <w:marRight w:val="0"/>
      <w:marTop w:val="0"/>
      <w:marBottom w:val="0"/>
      <w:divBdr>
        <w:top w:val="none" w:sz="0" w:space="0" w:color="auto"/>
        <w:left w:val="none" w:sz="0" w:space="0" w:color="auto"/>
        <w:bottom w:val="none" w:sz="0" w:space="0" w:color="auto"/>
        <w:right w:val="none" w:sz="0" w:space="0" w:color="auto"/>
      </w:divBdr>
    </w:div>
    <w:div w:id="1463425402">
      <w:bodyDiv w:val="1"/>
      <w:marLeft w:val="0"/>
      <w:marRight w:val="0"/>
      <w:marTop w:val="0"/>
      <w:marBottom w:val="0"/>
      <w:divBdr>
        <w:top w:val="none" w:sz="0" w:space="0" w:color="auto"/>
        <w:left w:val="none" w:sz="0" w:space="0" w:color="auto"/>
        <w:bottom w:val="none" w:sz="0" w:space="0" w:color="auto"/>
        <w:right w:val="none" w:sz="0" w:space="0" w:color="auto"/>
      </w:divBdr>
    </w:div>
    <w:div w:id="1524442821">
      <w:bodyDiv w:val="1"/>
      <w:marLeft w:val="0"/>
      <w:marRight w:val="0"/>
      <w:marTop w:val="0"/>
      <w:marBottom w:val="0"/>
      <w:divBdr>
        <w:top w:val="none" w:sz="0" w:space="0" w:color="auto"/>
        <w:left w:val="none" w:sz="0" w:space="0" w:color="auto"/>
        <w:bottom w:val="none" w:sz="0" w:space="0" w:color="auto"/>
        <w:right w:val="none" w:sz="0" w:space="0" w:color="auto"/>
      </w:divBdr>
    </w:div>
    <w:div w:id="1528061630">
      <w:bodyDiv w:val="1"/>
      <w:marLeft w:val="0"/>
      <w:marRight w:val="0"/>
      <w:marTop w:val="0"/>
      <w:marBottom w:val="0"/>
      <w:divBdr>
        <w:top w:val="none" w:sz="0" w:space="0" w:color="auto"/>
        <w:left w:val="none" w:sz="0" w:space="0" w:color="auto"/>
        <w:bottom w:val="none" w:sz="0" w:space="0" w:color="auto"/>
        <w:right w:val="none" w:sz="0" w:space="0" w:color="auto"/>
      </w:divBdr>
      <w:divsChild>
        <w:div w:id="1379278859">
          <w:marLeft w:val="0"/>
          <w:marRight w:val="0"/>
          <w:marTop w:val="0"/>
          <w:marBottom w:val="0"/>
          <w:divBdr>
            <w:top w:val="none" w:sz="0" w:space="0" w:color="auto"/>
            <w:left w:val="none" w:sz="0" w:space="0" w:color="auto"/>
            <w:bottom w:val="none" w:sz="0" w:space="0" w:color="auto"/>
            <w:right w:val="none" w:sz="0" w:space="0" w:color="auto"/>
          </w:divBdr>
          <w:divsChild>
            <w:div w:id="2116557941">
              <w:marLeft w:val="0"/>
              <w:marRight w:val="0"/>
              <w:marTop w:val="0"/>
              <w:marBottom w:val="0"/>
              <w:divBdr>
                <w:top w:val="none" w:sz="0" w:space="0" w:color="auto"/>
                <w:left w:val="none" w:sz="0" w:space="0" w:color="auto"/>
                <w:bottom w:val="none" w:sz="0" w:space="0" w:color="auto"/>
                <w:right w:val="none" w:sz="0" w:space="0" w:color="auto"/>
              </w:divBdr>
              <w:divsChild>
                <w:div w:id="1612514134">
                  <w:marLeft w:val="8355"/>
                  <w:marRight w:val="0"/>
                  <w:marTop w:val="0"/>
                  <w:marBottom w:val="0"/>
                  <w:divBdr>
                    <w:top w:val="none" w:sz="0" w:space="0" w:color="auto"/>
                    <w:left w:val="none" w:sz="0" w:space="0" w:color="auto"/>
                    <w:bottom w:val="none" w:sz="0" w:space="0" w:color="auto"/>
                    <w:right w:val="none" w:sz="0" w:space="0" w:color="auto"/>
                  </w:divBdr>
                  <w:divsChild>
                    <w:div w:id="173768038">
                      <w:marLeft w:val="0"/>
                      <w:marRight w:val="0"/>
                      <w:marTop w:val="0"/>
                      <w:marBottom w:val="0"/>
                      <w:divBdr>
                        <w:top w:val="none" w:sz="0" w:space="0" w:color="auto"/>
                        <w:left w:val="none" w:sz="0" w:space="0" w:color="auto"/>
                        <w:bottom w:val="none" w:sz="0" w:space="0" w:color="auto"/>
                        <w:right w:val="none" w:sz="0" w:space="0" w:color="auto"/>
                      </w:divBdr>
                      <w:divsChild>
                        <w:div w:id="92480758">
                          <w:marLeft w:val="0"/>
                          <w:marRight w:val="0"/>
                          <w:marTop w:val="0"/>
                          <w:marBottom w:val="0"/>
                          <w:divBdr>
                            <w:top w:val="none" w:sz="0" w:space="0" w:color="auto"/>
                            <w:left w:val="none" w:sz="0" w:space="0" w:color="auto"/>
                            <w:bottom w:val="none" w:sz="0" w:space="0" w:color="auto"/>
                            <w:right w:val="none" w:sz="0" w:space="0" w:color="auto"/>
                          </w:divBdr>
                          <w:divsChild>
                            <w:div w:id="17776278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562206739">
      <w:bodyDiv w:val="1"/>
      <w:marLeft w:val="0"/>
      <w:marRight w:val="0"/>
      <w:marTop w:val="0"/>
      <w:marBottom w:val="0"/>
      <w:divBdr>
        <w:top w:val="none" w:sz="0" w:space="0" w:color="auto"/>
        <w:left w:val="none" w:sz="0" w:space="0" w:color="auto"/>
        <w:bottom w:val="none" w:sz="0" w:space="0" w:color="auto"/>
        <w:right w:val="none" w:sz="0" w:space="0" w:color="auto"/>
      </w:divBdr>
    </w:div>
    <w:div w:id="1600794868">
      <w:bodyDiv w:val="1"/>
      <w:marLeft w:val="0"/>
      <w:marRight w:val="0"/>
      <w:marTop w:val="0"/>
      <w:marBottom w:val="0"/>
      <w:divBdr>
        <w:top w:val="none" w:sz="0" w:space="0" w:color="auto"/>
        <w:left w:val="none" w:sz="0" w:space="0" w:color="auto"/>
        <w:bottom w:val="none" w:sz="0" w:space="0" w:color="auto"/>
        <w:right w:val="none" w:sz="0" w:space="0" w:color="auto"/>
      </w:divBdr>
    </w:div>
    <w:div w:id="1623152563">
      <w:bodyDiv w:val="1"/>
      <w:marLeft w:val="0"/>
      <w:marRight w:val="0"/>
      <w:marTop w:val="0"/>
      <w:marBottom w:val="0"/>
      <w:divBdr>
        <w:top w:val="none" w:sz="0" w:space="0" w:color="auto"/>
        <w:left w:val="none" w:sz="0" w:space="0" w:color="auto"/>
        <w:bottom w:val="none" w:sz="0" w:space="0" w:color="auto"/>
        <w:right w:val="none" w:sz="0" w:space="0" w:color="auto"/>
      </w:divBdr>
      <w:divsChild>
        <w:div w:id="324359563">
          <w:marLeft w:val="0"/>
          <w:marRight w:val="0"/>
          <w:marTop w:val="0"/>
          <w:marBottom w:val="0"/>
          <w:divBdr>
            <w:top w:val="none" w:sz="0" w:space="0" w:color="auto"/>
            <w:left w:val="none" w:sz="0" w:space="0" w:color="auto"/>
            <w:bottom w:val="none" w:sz="0" w:space="0" w:color="auto"/>
            <w:right w:val="none" w:sz="0" w:space="0" w:color="auto"/>
          </w:divBdr>
          <w:divsChild>
            <w:div w:id="383679814">
              <w:marLeft w:val="0"/>
              <w:marRight w:val="0"/>
              <w:marTop w:val="0"/>
              <w:marBottom w:val="0"/>
              <w:divBdr>
                <w:top w:val="none" w:sz="0" w:space="0" w:color="auto"/>
                <w:left w:val="none" w:sz="0" w:space="0" w:color="auto"/>
                <w:bottom w:val="none" w:sz="0" w:space="0" w:color="auto"/>
                <w:right w:val="none" w:sz="0" w:space="0" w:color="auto"/>
              </w:divBdr>
              <w:divsChild>
                <w:div w:id="816804476">
                  <w:marLeft w:val="0"/>
                  <w:marRight w:val="0"/>
                  <w:marTop w:val="0"/>
                  <w:marBottom w:val="0"/>
                  <w:divBdr>
                    <w:top w:val="none" w:sz="0" w:space="0" w:color="auto"/>
                    <w:left w:val="none" w:sz="0" w:space="0" w:color="auto"/>
                    <w:bottom w:val="none" w:sz="0" w:space="0" w:color="auto"/>
                    <w:right w:val="none" w:sz="0" w:space="0" w:color="auto"/>
                  </w:divBdr>
                  <w:divsChild>
                    <w:div w:id="17317513">
                      <w:marLeft w:val="0"/>
                      <w:marRight w:val="0"/>
                      <w:marTop w:val="0"/>
                      <w:marBottom w:val="0"/>
                      <w:divBdr>
                        <w:top w:val="none" w:sz="0" w:space="0" w:color="auto"/>
                        <w:left w:val="none" w:sz="0" w:space="0" w:color="auto"/>
                        <w:bottom w:val="none" w:sz="0" w:space="0" w:color="auto"/>
                        <w:right w:val="none" w:sz="0" w:space="0" w:color="auto"/>
                      </w:divBdr>
                      <w:divsChild>
                        <w:div w:id="1284459545">
                          <w:marLeft w:val="0"/>
                          <w:marRight w:val="0"/>
                          <w:marTop w:val="0"/>
                          <w:marBottom w:val="0"/>
                          <w:divBdr>
                            <w:top w:val="none" w:sz="0" w:space="0" w:color="auto"/>
                            <w:left w:val="none" w:sz="0" w:space="0" w:color="auto"/>
                            <w:bottom w:val="none" w:sz="0" w:space="0" w:color="auto"/>
                            <w:right w:val="none" w:sz="0" w:space="0" w:color="auto"/>
                          </w:divBdr>
                          <w:divsChild>
                            <w:div w:id="299308786">
                              <w:marLeft w:val="0"/>
                              <w:marRight w:val="0"/>
                              <w:marTop w:val="0"/>
                              <w:marBottom w:val="0"/>
                              <w:divBdr>
                                <w:top w:val="none" w:sz="0" w:space="0" w:color="auto"/>
                                <w:left w:val="none" w:sz="0" w:space="0" w:color="auto"/>
                                <w:bottom w:val="none" w:sz="0" w:space="0" w:color="auto"/>
                                <w:right w:val="none" w:sz="0" w:space="0" w:color="auto"/>
                              </w:divBdr>
                              <w:divsChild>
                                <w:div w:id="377629189">
                                  <w:marLeft w:val="0"/>
                                  <w:marRight w:val="0"/>
                                  <w:marTop w:val="0"/>
                                  <w:marBottom w:val="0"/>
                                  <w:divBdr>
                                    <w:top w:val="none" w:sz="0" w:space="0" w:color="auto"/>
                                    <w:left w:val="none" w:sz="0" w:space="0" w:color="auto"/>
                                    <w:bottom w:val="none" w:sz="0" w:space="0" w:color="auto"/>
                                    <w:right w:val="none" w:sz="0" w:space="0" w:color="auto"/>
                                  </w:divBdr>
                                  <w:divsChild>
                                    <w:div w:id="1800875005">
                                      <w:marLeft w:val="0"/>
                                      <w:marRight w:val="0"/>
                                      <w:marTop w:val="0"/>
                                      <w:marBottom w:val="0"/>
                                      <w:divBdr>
                                        <w:top w:val="none" w:sz="0" w:space="0" w:color="auto"/>
                                        <w:left w:val="none" w:sz="0" w:space="0" w:color="auto"/>
                                        <w:bottom w:val="none" w:sz="0" w:space="0" w:color="auto"/>
                                        <w:right w:val="none" w:sz="0" w:space="0" w:color="auto"/>
                                      </w:divBdr>
                                      <w:divsChild>
                                        <w:div w:id="2032561676">
                                          <w:marLeft w:val="0"/>
                                          <w:marRight w:val="0"/>
                                          <w:marTop w:val="0"/>
                                          <w:marBottom w:val="0"/>
                                          <w:divBdr>
                                            <w:top w:val="none" w:sz="0" w:space="0" w:color="auto"/>
                                            <w:left w:val="none" w:sz="0" w:space="0" w:color="auto"/>
                                            <w:bottom w:val="none" w:sz="0" w:space="0" w:color="auto"/>
                                            <w:right w:val="none" w:sz="0" w:space="0" w:color="auto"/>
                                          </w:divBdr>
                                          <w:divsChild>
                                            <w:div w:id="982662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3290813">
      <w:bodyDiv w:val="1"/>
      <w:marLeft w:val="0"/>
      <w:marRight w:val="0"/>
      <w:marTop w:val="0"/>
      <w:marBottom w:val="0"/>
      <w:divBdr>
        <w:top w:val="none" w:sz="0" w:space="0" w:color="auto"/>
        <w:left w:val="none" w:sz="0" w:space="0" w:color="auto"/>
        <w:bottom w:val="none" w:sz="0" w:space="0" w:color="auto"/>
        <w:right w:val="none" w:sz="0" w:space="0" w:color="auto"/>
      </w:divBdr>
      <w:divsChild>
        <w:div w:id="949161347">
          <w:marLeft w:val="0"/>
          <w:marRight w:val="0"/>
          <w:marTop w:val="0"/>
          <w:marBottom w:val="0"/>
          <w:divBdr>
            <w:top w:val="none" w:sz="0" w:space="0" w:color="auto"/>
            <w:left w:val="none" w:sz="0" w:space="0" w:color="auto"/>
            <w:bottom w:val="none" w:sz="0" w:space="0" w:color="auto"/>
            <w:right w:val="none" w:sz="0" w:space="0" w:color="auto"/>
          </w:divBdr>
          <w:divsChild>
            <w:div w:id="1432629389">
              <w:marLeft w:val="0"/>
              <w:marRight w:val="0"/>
              <w:marTop w:val="0"/>
              <w:marBottom w:val="0"/>
              <w:divBdr>
                <w:top w:val="none" w:sz="0" w:space="0" w:color="auto"/>
                <w:left w:val="none" w:sz="0" w:space="0" w:color="auto"/>
                <w:bottom w:val="none" w:sz="0" w:space="0" w:color="auto"/>
                <w:right w:val="none" w:sz="0" w:space="0" w:color="auto"/>
              </w:divBdr>
              <w:divsChild>
                <w:div w:id="955792594">
                  <w:marLeft w:val="8355"/>
                  <w:marRight w:val="0"/>
                  <w:marTop w:val="0"/>
                  <w:marBottom w:val="0"/>
                  <w:divBdr>
                    <w:top w:val="none" w:sz="0" w:space="0" w:color="auto"/>
                    <w:left w:val="none" w:sz="0" w:space="0" w:color="auto"/>
                    <w:bottom w:val="none" w:sz="0" w:space="0" w:color="auto"/>
                    <w:right w:val="none" w:sz="0" w:space="0" w:color="auto"/>
                  </w:divBdr>
                  <w:divsChild>
                    <w:div w:id="1423722316">
                      <w:marLeft w:val="0"/>
                      <w:marRight w:val="0"/>
                      <w:marTop w:val="0"/>
                      <w:marBottom w:val="0"/>
                      <w:divBdr>
                        <w:top w:val="none" w:sz="0" w:space="0" w:color="auto"/>
                        <w:left w:val="none" w:sz="0" w:space="0" w:color="auto"/>
                        <w:bottom w:val="none" w:sz="0" w:space="0" w:color="auto"/>
                        <w:right w:val="none" w:sz="0" w:space="0" w:color="auto"/>
                      </w:divBdr>
                      <w:divsChild>
                        <w:div w:id="442189017">
                          <w:marLeft w:val="0"/>
                          <w:marRight w:val="0"/>
                          <w:marTop w:val="0"/>
                          <w:marBottom w:val="0"/>
                          <w:divBdr>
                            <w:top w:val="none" w:sz="0" w:space="0" w:color="auto"/>
                            <w:left w:val="none" w:sz="0" w:space="0" w:color="auto"/>
                            <w:bottom w:val="none" w:sz="0" w:space="0" w:color="auto"/>
                            <w:right w:val="none" w:sz="0" w:space="0" w:color="auto"/>
                          </w:divBdr>
                          <w:divsChild>
                            <w:div w:id="1071349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9454114">
      <w:bodyDiv w:val="1"/>
      <w:marLeft w:val="0"/>
      <w:marRight w:val="0"/>
      <w:marTop w:val="0"/>
      <w:marBottom w:val="0"/>
      <w:divBdr>
        <w:top w:val="none" w:sz="0" w:space="0" w:color="auto"/>
        <w:left w:val="none" w:sz="0" w:space="0" w:color="auto"/>
        <w:bottom w:val="none" w:sz="0" w:space="0" w:color="auto"/>
        <w:right w:val="none" w:sz="0" w:space="0" w:color="auto"/>
      </w:divBdr>
    </w:div>
    <w:div w:id="1751147868">
      <w:bodyDiv w:val="1"/>
      <w:marLeft w:val="0"/>
      <w:marRight w:val="0"/>
      <w:marTop w:val="0"/>
      <w:marBottom w:val="0"/>
      <w:divBdr>
        <w:top w:val="none" w:sz="0" w:space="0" w:color="auto"/>
        <w:left w:val="none" w:sz="0" w:space="0" w:color="auto"/>
        <w:bottom w:val="none" w:sz="0" w:space="0" w:color="auto"/>
        <w:right w:val="none" w:sz="0" w:space="0" w:color="auto"/>
      </w:divBdr>
      <w:divsChild>
        <w:div w:id="81142993">
          <w:marLeft w:val="0"/>
          <w:marRight w:val="0"/>
          <w:marTop w:val="0"/>
          <w:marBottom w:val="0"/>
          <w:divBdr>
            <w:top w:val="none" w:sz="0" w:space="0" w:color="auto"/>
            <w:left w:val="none" w:sz="0" w:space="0" w:color="auto"/>
            <w:bottom w:val="none" w:sz="0" w:space="0" w:color="auto"/>
            <w:right w:val="none" w:sz="0" w:space="0" w:color="auto"/>
          </w:divBdr>
          <w:divsChild>
            <w:div w:id="1592465390">
              <w:marLeft w:val="0"/>
              <w:marRight w:val="0"/>
              <w:marTop w:val="0"/>
              <w:marBottom w:val="0"/>
              <w:divBdr>
                <w:top w:val="none" w:sz="0" w:space="0" w:color="auto"/>
                <w:left w:val="none" w:sz="0" w:space="0" w:color="auto"/>
                <w:bottom w:val="none" w:sz="0" w:space="0" w:color="auto"/>
                <w:right w:val="none" w:sz="0" w:space="0" w:color="auto"/>
              </w:divBdr>
              <w:divsChild>
                <w:div w:id="2133397724">
                  <w:marLeft w:val="0"/>
                  <w:marRight w:val="0"/>
                  <w:marTop w:val="0"/>
                  <w:marBottom w:val="0"/>
                  <w:divBdr>
                    <w:top w:val="none" w:sz="0" w:space="0" w:color="auto"/>
                    <w:left w:val="none" w:sz="0" w:space="0" w:color="auto"/>
                    <w:bottom w:val="none" w:sz="0" w:space="0" w:color="auto"/>
                    <w:right w:val="none" w:sz="0" w:space="0" w:color="auto"/>
                  </w:divBdr>
                  <w:divsChild>
                    <w:div w:id="1969966295">
                      <w:marLeft w:val="0"/>
                      <w:marRight w:val="0"/>
                      <w:marTop w:val="0"/>
                      <w:marBottom w:val="0"/>
                      <w:divBdr>
                        <w:top w:val="none" w:sz="0" w:space="0" w:color="auto"/>
                        <w:left w:val="none" w:sz="0" w:space="0" w:color="auto"/>
                        <w:bottom w:val="none" w:sz="0" w:space="0" w:color="auto"/>
                        <w:right w:val="none" w:sz="0" w:space="0" w:color="auto"/>
                      </w:divBdr>
                      <w:divsChild>
                        <w:div w:id="1086657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8137799">
      <w:bodyDiv w:val="1"/>
      <w:marLeft w:val="0"/>
      <w:marRight w:val="0"/>
      <w:marTop w:val="0"/>
      <w:marBottom w:val="0"/>
      <w:divBdr>
        <w:top w:val="none" w:sz="0" w:space="0" w:color="auto"/>
        <w:left w:val="none" w:sz="0" w:space="0" w:color="auto"/>
        <w:bottom w:val="none" w:sz="0" w:space="0" w:color="auto"/>
        <w:right w:val="none" w:sz="0" w:space="0" w:color="auto"/>
      </w:divBdr>
      <w:divsChild>
        <w:div w:id="1986887445">
          <w:marLeft w:val="0"/>
          <w:marRight w:val="0"/>
          <w:marTop w:val="0"/>
          <w:marBottom w:val="0"/>
          <w:divBdr>
            <w:top w:val="none" w:sz="0" w:space="0" w:color="auto"/>
            <w:left w:val="none" w:sz="0" w:space="0" w:color="auto"/>
            <w:bottom w:val="none" w:sz="0" w:space="0" w:color="auto"/>
            <w:right w:val="none" w:sz="0" w:space="0" w:color="auto"/>
          </w:divBdr>
          <w:divsChild>
            <w:div w:id="1843281364">
              <w:marLeft w:val="0"/>
              <w:marRight w:val="0"/>
              <w:marTop w:val="0"/>
              <w:marBottom w:val="0"/>
              <w:divBdr>
                <w:top w:val="none" w:sz="0" w:space="0" w:color="auto"/>
                <w:left w:val="none" w:sz="0" w:space="0" w:color="auto"/>
                <w:bottom w:val="none" w:sz="0" w:space="0" w:color="auto"/>
                <w:right w:val="none" w:sz="0" w:space="0" w:color="auto"/>
              </w:divBdr>
              <w:divsChild>
                <w:div w:id="1340505473">
                  <w:marLeft w:val="3684"/>
                  <w:marRight w:val="0"/>
                  <w:marTop w:val="0"/>
                  <w:marBottom w:val="569"/>
                  <w:divBdr>
                    <w:top w:val="single" w:sz="6" w:space="0" w:color="FFFFFF"/>
                    <w:left w:val="single" w:sz="6" w:space="0" w:color="FFFFFF"/>
                    <w:bottom w:val="single" w:sz="6" w:space="0" w:color="FFFFFF"/>
                    <w:right w:val="single" w:sz="6" w:space="0" w:color="FFFFFF"/>
                  </w:divBdr>
                  <w:divsChild>
                    <w:div w:id="798105604">
                      <w:marLeft w:val="0"/>
                      <w:marRight w:val="-3349"/>
                      <w:marTop w:val="0"/>
                      <w:marBottom w:val="0"/>
                      <w:divBdr>
                        <w:top w:val="none" w:sz="0" w:space="0" w:color="auto"/>
                        <w:left w:val="none" w:sz="0" w:space="0" w:color="auto"/>
                        <w:bottom w:val="none" w:sz="0" w:space="0" w:color="auto"/>
                        <w:right w:val="none" w:sz="0" w:space="0" w:color="auto"/>
                      </w:divBdr>
                      <w:divsChild>
                        <w:div w:id="1117411749">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1877933">
      <w:bodyDiv w:val="1"/>
      <w:marLeft w:val="0"/>
      <w:marRight w:val="0"/>
      <w:marTop w:val="0"/>
      <w:marBottom w:val="0"/>
      <w:divBdr>
        <w:top w:val="none" w:sz="0" w:space="0" w:color="auto"/>
        <w:left w:val="none" w:sz="0" w:space="0" w:color="auto"/>
        <w:bottom w:val="none" w:sz="0" w:space="0" w:color="auto"/>
        <w:right w:val="none" w:sz="0" w:space="0" w:color="auto"/>
      </w:divBdr>
      <w:divsChild>
        <w:div w:id="231430306">
          <w:marLeft w:val="0"/>
          <w:marRight w:val="0"/>
          <w:marTop w:val="0"/>
          <w:marBottom w:val="0"/>
          <w:divBdr>
            <w:top w:val="none" w:sz="0" w:space="0" w:color="auto"/>
            <w:left w:val="none" w:sz="0" w:space="0" w:color="auto"/>
            <w:bottom w:val="none" w:sz="0" w:space="0" w:color="auto"/>
            <w:right w:val="none" w:sz="0" w:space="0" w:color="auto"/>
          </w:divBdr>
          <w:divsChild>
            <w:div w:id="943734048">
              <w:marLeft w:val="0"/>
              <w:marRight w:val="0"/>
              <w:marTop w:val="0"/>
              <w:marBottom w:val="0"/>
              <w:divBdr>
                <w:top w:val="none" w:sz="0" w:space="0" w:color="auto"/>
                <w:left w:val="none" w:sz="0" w:space="0" w:color="auto"/>
                <w:bottom w:val="none" w:sz="0" w:space="0" w:color="auto"/>
                <w:right w:val="none" w:sz="0" w:space="0" w:color="auto"/>
              </w:divBdr>
              <w:divsChild>
                <w:div w:id="99960051">
                  <w:marLeft w:val="3684"/>
                  <w:marRight w:val="0"/>
                  <w:marTop w:val="0"/>
                  <w:marBottom w:val="569"/>
                  <w:divBdr>
                    <w:top w:val="single" w:sz="6" w:space="0" w:color="FFFFFF"/>
                    <w:left w:val="single" w:sz="6" w:space="0" w:color="FFFFFF"/>
                    <w:bottom w:val="single" w:sz="6" w:space="0" w:color="FFFFFF"/>
                    <w:right w:val="single" w:sz="6" w:space="0" w:color="FFFFFF"/>
                  </w:divBdr>
                  <w:divsChild>
                    <w:div w:id="1997026087">
                      <w:marLeft w:val="0"/>
                      <w:marRight w:val="-3349"/>
                      <w:marTop w:val="0"/>
                      <w:marBottom w:val="0"/>
                      <w:divBdr>
                        <w:top w:val="none" w:sz="0" w:space="0" w:color="auto"/>
                        <w:left w:val="none" w:sz="0" w:space="0" w:color="auto"/>
                        <w:bottom w:val="none" w:sz="0" w:space="0" w:color="auto"/>
                        <w:right w:val="none" w:sz="0" w:space="0" w:color="auto"/>
                      </w:divBdr>
                      <w:divsChild>
                        <w:div w:id="797605596">
                          <w:marLeft w:val="0"/>
                          <w:marRight w:val="3349"/>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11944339">
      <w:bodyDiv w:val="1"/>
      <w:marLeft w:val="0"/>
      <w:marRight w:val="0"/>
      <w:marTop w:val="0"/>
      <w:marBottom w:val="0"/>
      <w:divBdr>
        <w:top w:val="none" w:sz="0" w:space="0" w:color="auto"/>
        <w:left w:val="none" w:sz="0" w:space="0" w:color="auto"/>
        <w:bottom w:val="none" w:sz="0" w:space="0" w:color="auto"/>
        <w:right w:val="none" w:sz="0" w:space="0" w:color="auto"/>
      </w:divBdr>
    </w:div>
    <w:div w:id="1925796668">
      <w:bodyDiv w:val="1"/>
      <w:marLeft w:val="0"/>
      <w:marRight w:val="0"/>
      <w:marTop w:val="0"/>
      <w:marBottom w:val="0"/>
      <w:divBdr>
        <w:top w:val="none" w:sz="0" w:space="0" w:color="auto"/>
        <w:left w:val="none" w:sz="0" w:space="0" w:color="auto"/>
        <w:bottom w:val="none" w:sz="0" w:space="0" w:color="auto"/>
        <w:right w:val="none" w:sz="0" w:space="0" w:color="auto"/>
      </w:divBdr>
      <w:divsChild>
        <w:div w:id="2087847102">
          <w:marLeft w:val="0"/>
          <w:marRight w:val="0"/>
          <w:marTop w:val="0"/>
          <w:marBottom w:val="0"/>
          <w:divBdr>
            <w:top w:val="none" w:sz="0" w:space="0" w:color="auto"/>
            <w:left w:val="none" w:sz="0" w:space="0" w:color="auto"/>
            <w:bottom w:val="none" w:sz="0" w:space="0" w:color="auto"/>
            <w:right w:val="none" w:sz="0" w:space="0" w:color="auto"/>
          </w:divBdr>
          <w:divsChild>
            <w:div w:id="714308973">
              <w:marLeft w:val="0"/>
              <w:marRight w:val="0"/>
              <w:marTop w:val="0"/>
              <w:marBottom w:val="0"/>
              <w:divBdr>
                <w:top w:val="none" w:sz="0" w:space="0" w:color="auto"/>
                <w:left w:val="none" w:sz="0" w:space="0" w:color="auto"/>
                <w:bottom w:val="none" w:sz="0" w:space="0" w:color="auto"/>
                <w:right w:val="none" w:sz="0" w:space="0" w:color="auto"/>
              </w:divBdr>
              <w:divsChild>
                <w:div w:id="2040080801">
                  <w:marLeft w:val="8355"/>
                  <w:marRight w:val="0"/>
                  <w:marTop w:val="0"/>
                  <w:marBottom w:val="0"/>
                  <w:divBdr>
                    <w:top w:val="none" w:sz="0" w:space="0" w:color="auto"/>
                    <w:left w:val="none" w:sz="0" w:space="0" w:color="auto"/>
                    <w:bottom w:val="none" w:sz="0" w:space="0" w:color="auto"/>
                    <w:right w:val="none" w:sz="0" w:space="0" w:color="auto"/>
                  </w:divBdr>
                  <w:divsChild>
                    <w:div w:id="370493975">
                      <w:marLeft w:val="0"/>
                      <w:marRight w:val="0"/>
                      <w:marTop w:val="0"/>
                      <w:marBottom w:val="0"/>
                      <w:divBdr>
                        <w:top w:val="none" w:sz="0" w:space="0" w:color="auto"/>
                        <w:left w:val="none" w:sz="0" w:space="0" w:color="auto"/>
                        <w:bottom w:val="none" w:sz="0" w:space="0" w:color="auto"/>
                        <w:right w:val="none" w:sz="0" w:space="0" w:color="auto"/>
                      </w:divBdr>
                      <w:divsChild>
                        <w:div w:id="1169368614">
                          <w:marLeft w:val="0"/>
                          <w:marRight w:val="0"/>
                          <w:marTop w:val="0"/>
                          <w:marBottom w:val="0"/>
                          <w:divBdr>
                            <w:top w:val="none" w:sz="0" w:space="0" w:color="auto"/>
                            <w:left w:val="none" w:sz="0" w:space="0" w:color="auto"/>
                            <w:bottom w:val="none" w:sz="0" w:space="0" w:color="auto"/>
                            <w:right w:val="none" w:sz="0" w:space="0" w:color="auto"/>
                          </w:divBdr>
                          <w:divsChild>
                            <w:div w:id="1835878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3589427">
      <w:bodyDiv w:val="1"/>
      <w:marLeft w:val="0"/>
      <w:marRight w:val="0"/>
      <w:marTop w:val="0"/>
      <w:marBottom w:val="0"/>
      <w:divBdr>
        <w:top w:val="none" w:sz="0" w:space="0" w:color="auto"/>
        <w:left w:val="none" w:sz="0" w:space="0" w:color="auto"/>
        <w:bottom w:val="none" w:sz="0" w:space="0" w:color="auto"/>
        <w:right w:val="none" w:sz="0" w:space="0" w:color="auto"/>
      </w:divBdr>
    </w:div>
    <w:div w:id="1980184917">
      <w:bodyDiv w:val="1"/>
      <w:marLeft w:val="0"/>
      <w:marRight w:val="0"/>
      <w:marTop w:val="0"/>
      <w:marBottom w:val="0"/>
      <w:divBdr>
        <w:top w:val="none" w:sz="0" w:space="0" w:color="auto"/>
        <w:left w:val="none" w:sz="0" w:space="0" w:color="auto"/>
        <w:bottom w:val="none" w:sz="0" w:space="0" w:color="auto"/>
        <w:right w:val="none" w:sz="0" w:space="0" w:color="auto"/>
      </w:divBdr>
    </w:div>
    <w:div w:id="2048750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www.nice.org.uk/guidance/dg3/resources/summary-of-the-main-changes-in-evaluated-ct-scanners-pdf-261358614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nice.org.uk/guidance/mtg32/documents/supporting-documentatio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nice.org.uk/guidance/mtg31/documents/supporting-documentatio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developer.nhs.uk/daq/"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ipem.ac.uk/Portals/0/Documents/Conferences/2017/CE%20in%20Medical%20Devices/1452%20Medical%20Device%20programme%20and%20abstracts.pdf?ver=2017-03-27-164147-477"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0A3BD-2241-46EA-A0A1-800B2B9DE4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7A0F5993</Template>
  <TotalTime>1</TotalTime>
  <Pages>6</Pages>
  <Words>995</Words>
  <Characters>6496</Characters>
  <Application>Microsoft Office Word</Application>
  <DocSecurity>0</DocSecurity>
  <Lines>54</Lines>
  <Paragraphs>14</Paragraphs>
  <ScaleCrop>false</ScaleCrop>
  <HeadingPairs>
    <vt:vector size="2" baseType="variant">
      <vt:variant>
        <vt:lpstr>Title</vt:lpstr>
      </vt:variant>
      <vt:variant>
        <vt:i4>1</vt:i4>
      </vt:variant>
    </vt:vector>
  </HeadingPairs>
  <TitlesOfParts>
    <vt:vector size="1" baseType="lpstr">
      <vt:lpstr/>
    </vt:vector>
  </TitlesOfParts>
  <Company>NICE</Company>
  <LinksUpToDate>false</LinksUpToDate>
  <CharactersWithSpaces>7477</CharactersWithSpaces>
  <SharedDoc>false</SharedDoc>
  <HLinks>
    <vt:vector size="414" baseType="variant">
      <vt:variant>
        <vt:i4>2228257</vt:i4>
      </vt:variant>
      <vt:variant>
        <vt:i4>333</vt:i4>
      </vt:variant>
      <vt:variant>
        <vt:i4>0</vt:i4>
      </vt:variant>
      <vt:variant>
        <vt:i4>5</vt:i4>
      </vt:variant>
      <vt:variant>
        <vt:lpwstr>http://www.evidence.nhs.uk/</vt:lpwstr>
      </vt:variant>
      <vt:variant>
        <vt:lpwstr/>
      </vt:variant>
      <vt:variant>
        <vt:i4>1376273</vt:i4>
      </vt:variant>
      <vt:variant>
        <vt:i4>330</vt:i4>
      </vt:variant>
      <vt:variant>
        <vt:i4>0</vt:i4>
      </vt:variant>
      <vt:variant>
        <vt:i4>5</vt:i4>
      </vt:variant>
      <vt:variant>
        <vt:lpwstr/>
      </vt:variant>
      <vt:variant>
        <vt:lpwstr>Variants</vt:lpwstr>
      </vt:variant>
      <vt:variant>
        <vt:i4>2031646</vt:i4>
      </vt:variant>
      <vt:variant>
        <vt:i4>327</vt:i4>
      </vt:variant>
      <vt:variant>
        <vt:i4>0</vt:i4>
      </vt:variant>
      <vt:variant>
        <vt:i4>5</vt:i4>
      </vt:variant>
      <vt:variant>
        <vt:lpwstr>http://www.openarchives.org/OAI/openarchivesprotocol.html</vt:lpwstr>
      </vt:variant>
      <vt:variant>
        <vt:lpwstr/>
      </vt:variant>
      <vt:variant>
        <vt:i4>3473467</vt:i4>
      </vt:variant>
      <vt:variant>
        <vt:i4>324</vt:i4>
      </vt:variant>
      <vt:variant>
        <vt:i4>0</vt:i4>
      </vt:variant>
      <vt:variant>
        <vt:i4>5</vt:i4>
      </vt:variant>
      <vt:variant>
        <vt:lpwstr/>
      </vt:variant>
      <vt:variant>
        <vt:lpwstr>Para951</vt:lpwstr>
      </vt:variant>
      <vt:variant>
        <vt:i4>3932275</vt:i4>
      </vt:variant>
      <vt:variant>
        <vt:i4>321</vt:i4>
      </vt:variant>
      <vt:variant>
        <vt:i4>0</vt:i4>
      </vt:variant>
      <vt:variant>
        <vt:i4>5</vt:i4>
      </vt:variant>
      <vt:variant>
        <vt:lpwstr/>
      </vt:variant>
      <vt:variant>
        <vt:lpwstr>Table1</vt:lpwstr>
      </vt:variant>
      <vt:variant>
        <vt:i4>3473462</vt:i4>
      </vt:variant>
      <vt:variant>
        <vt:i4>318</vt:i4>
      </vt:variant>
      <vt:variant>
        <vt:i4>0</vt:i4>
      </vt:variant>
      <vt:variant>
        <vt:i4>5</vt:i4>
      </vt:variant>
      <vt:variant>
        <vt:lpwstr/>
      </vt:variant>
      <vt:variant>
        <vt:lpwstr>Para454</vt:lpwstr>
      </vt:variant>
      <vt:variant>
        <vt:i4>3473462</vt:i4>
      </vt:variant>
      <vt:variant>
        <vt:i4>315</vt:i4>
      </vt:variant>
      <vt:variant>
        <vt:i4>0</vt:i4>
      </vt:variant>
      <vt:variant>
        <vt:i4>5</vt:i4>
      </vt:variant>
      <vt:variant>
        <vt:lpwstr/>
      </vt:variant>
      <vt:variant>
        <vt:lpwstr>Para453</vt:lpwstr>
      </vt:variant>
      <vt:variant>
        <vt:i4>3932275</vt:i4>
      </vt:variant>
      <vt:variant>
        <vt:i4>312</vt:i4>
      </vt:variant>
      <vt:variant>
        <vt:i4>0</vt:i4>
      </vt:variant>
      <vt:variant>
        <vt:i4>5</vt:i4>
      </vt:variant>
      <vt:variant>
        <vt:lpwstr/>
      </vt:variant>
      <vt:variant>
        <vt:lpwstr>Table1</vt:lpwstr>
      </vt:variant>
      <vt:variant>
        <vt:i4>3932275</vt:i4>
      </vt:variant>
      <vt:variant>
        <vt:i4>309</vt:i4>
      </vt:variant>
      <vt:variant>
        <vt:i4>0</vt:i4>
      </vt:variant>
      <vt:variant>
        <vt:i4>5</vt:i4>
      </vt:variant>
      <vt:variant>
        <vt:lpwstr/>
      </vt:variant>
      <vt:variant>
        <vt:lpwstr>Table1</vt:lpwstr>
      </vt:variant>
      <vt:variant>
        <vt:i4>6357105</vt:i4>
      </vt:variant>
      <vt:variant>
        <vt:i4>306</vt:i4>
      </vt:variant>
      <vt:variant>
        <vt:i4>0</vt:i4>
      </vt:variant>
      <vt:variant>
        <vt:i4>5</vt:i4>
      </vt:variant>
      <vt:variant>
        <vt:lpwstr/>
      </vt:variant>
      <vt:variant>
        <vt:lpwstr>QA</vt:lpwstr>
      </vt:variant>
      <vt:variant>
        <vt:i4>3932275</vt:i4>
      </vt:variant>
      <vt:variant>
        <vt:i4>303</vt:i4>
      </vt:variant>
      <vt:variant>
        <vt:i4>0</vt:i4>
      </vt:variant>
      <vt:variant>
        <vt:i4>5</vt:i4>
      </vt:variant>
      <vt:variant>
        <vt:lpwstr/>
      </vt:variant>
      <vt:variant>
        <vt:lpwstr>Table1</vt:lpwstr>
      </vt:variant>
      <vt:variant>
        <vt:i4>3932275</vt:i4>
      </vt:variant>
      <vt:variant>
        <vt:i4>300</vt:i4>
      </vt:variant>
      <vt:variant>
        <vt:i4>0</vt:i4>
      </vt:variant>
      <vt:variant>
        <vt:i4>5</vt:i4>
      </vt:variant>
      <vt:variant>
        <vt:lpwstr/>
      </vt:variant>
      <vt:variant>
        <vt:lpwstr>Table1</vt:lpwstr>
      </vt:variant>
      <vt:variant>
        <vt:i4>6357105</vt:i4>
      </vt:variant>
      <vt:variant>
        <vt:i4>297</vt:i4>
      </vt:variant>
      <vt:variant>
        <vt:i4>0</vt:i4>
      </vt:variant>
      <vt:variant>
        <vt:i4>5</vt:i4>
      </vt:variant>
      <vt:variant>
        <vt:lpwstr/>
      </vt:variant>
      <vt:variant>
        <vt:lpwstr>QA</vt:lpwstr>
      </vt:variant>
      <vt:variant>
        <vt:i4>3932275</vt:i4>
      </vt:variant>
      <vt:variant>
        <vt:i4>294</vt:i4>
      </vt:variant>
      <vt:variant>
        <vt:i4>0</vt:i4>
      </vt:variant>
      <vt:variant>
        <vt:i4>5</vt:i4>
      </vt:variant>
      <vt:variant>
        <vt:lpwstr/>
      </vt:variant>
      <vt:variant>
        <vt:lpwstr>Table1</vt:lpwstr>
      </vt:variant>
      <vt:variant>
        <vt:i4>6357105</vt:i4>
      </vt:variant>
      <vt:variant>
        <vt:i4>291</vt:i4>
      </vt:variant>
      <vt:variant>
        <vt:i4>0</vt:i4>
      </vt:variant>
      <vt:variant>
        <vt:i4>5</vt:i4>
      </vt:variant>
      <vt:variant>
        <vt:lpwstr/>
      </vt:variant>
      <vt:variant>
        <vt:lpwstr>QA</vt:lpwstr>
      </vt:variant>
      <vt:variant>
        <vt:i4>1310740</vt:i4>
      </vt:variant>
      <vt:variant>
        <vt:i4>288</vt:i4>
      </vt:variant>
      <vt:variant>
        <vt:i4>0</vt:i4>
      </vt:variant>
      <vt:variant>
        <vt:i4>5</vt:i4>
      </vt:variant>
      <vt:variant>
        <vt:lpwstr/>
      </vt:variant>
      <vt:variant>
        <vt:lpwstr>Usage</vt:lpwstr>
      </vt:variant>
      <vt:variant>
        <vt:i4>393228</vt:i4>
      </vt:variant>
      <vt:variant>
        <vt:i4>285</vt:i4>
      </vt:variant>
      <vt:variant>
        <vt:i4>0</vt:i4>
      </vt:variant>
      <vt:variant>
        <vt:i4>5</vt:i4>
      </vt:variant>
      <vt:variant>
        <vt:lpwstr/>
      </vt:variant>
      <vt:variant>
        <vt:lpwstr>TopicCoverage</vt:lpwstr>
      </vt:variant>
      <vt:variant>
        <vt:i4>393228</vt:i4>
      </vt:variant>
      <vt:variant>
        <vt:i4>282</vt:i4>
      </vt:variant>
      <vt:variant>
        <vt:i4>0</vt:i4>
      </vt:variant>
      <vt:variant>
        <vt:i4>5</vt:i4>
      </vt:variant>
      <vt:variant>
        <vt:lpwstr/>
      </vt:variant>
      <vt:variant>
        <vt:lpwstr>TopicCoverage</vt:lpwstr>
      </vt:variant>
      <vt:variant>
        <vt:i4>393228</vt:i4>
      </vt:variant>
      <vt:variant>
        <vt:i4>279</vt:i4>
      </vt:variant>
      <vt:variant>
        <vt:i4>0</vt:i4>
      </vt:variant>
      <vt:variant>
        <vt:i4>5</vt:i4>
      </vt:variant>
      <vt:variant>
        <vt:lpwstr/>
      </vt:variant>
      <vt:variant>
        <vt:lpwstr>TopicCoverage</vt:lpwstr>
      </vt:variant>
      <vt:variant>
        <vt:i4>7405675</vt:i4>
      </vt:variant>
      <vt:variant>
        <vt:i4>276</vt:i4>
      </vt:variant>
      <vt:variant>
        <vt:i4>0</vt:i4>
      </vt:variant>
      <vt:variant>
        <vt:i4>5</vt:i4>
      </vt:variant>
      <vt:variant>
        <vt:lpwstr/>
      </vt:variant>
      <vt:variant>
        <vt:lpwstr>English</vt:lpwstr>
      </vt:variant>
      <vt:variant>
        <vt:i4>4456575</vt:i4>
      </vt:variant>
      <vt:variant>
        <vt:i4>273</vt:i4>
      </vt:variant>
      <vt:variant>
        <vt:i4>0</vt:i4>
      </vt:variant>
      <vt:variant>
        <vt:i4>5</vt:i4>
      </vt:variant>
      <vt:variant>
        <vt:lpwstr>mailto:irene.walker@nice.org.uk</vt:lpwstr>
      </vt:variant>
      <vt:variant>
        <vt:lpwstr/>
      </vt:variant>
      <vt:variant>
        <vt:i4>6160499</vt:i4>
      </vt:variant>
      <vt:variant>
        <vt:i4>270</vt:i4>
      </vt:variant>
      <vt:variant>
        <vt:i4>0</vt:i4>
      </vt:variant>
      <vt:variant>
        <vt:i4>5</vt:i4>
      </vt:variant>
      <vt:variant>
        <vt:lpwstr>mailto:Contract.bids@nice.org.uk</vt:lpwstr>
      </vt:variant>
      <vt:variant>
        <vt:lpwstr/>
      </vt:variant>
      <vt:variant>
        <vt:i4>3932275</vt:i4>
      </vt:variant>
      <vt:variant>
        <vt:i4>264</vt:i4>
      </vt:variant>
      <vt:variant>
        <vt:i4>0</vt:i4>
      </vt:variant>
      <vt:variant>
        <vt:i4>5</vt:i4>
      </vt:variant>
      <vt:variant>
        <vt:lpwstr/>
      </vt:variant>
      <vt:variant>
        <vt:lpwstr>Table1</vt:lpwstr>
      </vt:variant>
      <vt:variant>
        <vt:i4>5701639</vt:i4>
      </vt:variant>
      <vt:variant>
        <vt:i4>261</vt:i4>
      </vt:variant>
      <vt:variant>
        <vt:i4>0</vt:i4>
      </vt:variant>
      <vt:variant>
        <vt:i4>5</vt:i4>
      </vt:variant>
      <vt:variant>
        <vt:lpwstr>http://guidance.nice.org.uk/</vt:lpwstr>
      </vt:variant>
      <vt:variant>
        <vt:lpwstr/>
      </vt:variant>
      <vt:variant>
        <vt:i4>6357105</vt:i4>
      </vt:variant>
      <vt:variant>
        <vt:i4>258</vt:i4>
      </vt:variant>
      <vt:variant>
        <vt:i4>0</vt:i4>
      </vt:variant>
      <vt:variant>
        <vt:i4>5</vt:i4>
      </vt:variant>
      <vt:variant>
        <vt:lpwstr/>
      </vt:variant>
      <vt:variant>
        <vt:lpwstr>QA</vt:lpwstr>
      </vt:variant>
      <vt:variant>
        <vt:i4>4784148</vt:i4>
      </vt:variant>
      <vt:variant>
        <vt:i4>255</vt:i4>
      </vt:variant>
      <vt:variant>
        <vt:i4>0</vt:i4>
      </vt:variant>
      <vt:variant>
        <vt:i4>5</vt:i4>
      </vt:variant>
      <vt:variant>
        <vt:lpwstr>http://www.nice.org.uk/aboutnice</vt:lpwstr>
      </vt:variant>
      <vt:variant>
        <vt:lpwstr/>
      </vt:variant>
      <vt:variant>
        <vt:i4>4784148</vt:i4>
      </vt:variant>
      <vt:variant>
        <vt:i4>249</vt:i4>
      </vt:variant>
      <vt:variant>
        <vt:i4>0</vt:i4>
      </vt:variant>
      <vt:variant>
        <vt:i4>5</vt:i4>
      </vt:variant>
      <vt:variant>
        <vt:lpwstr>http://www.nice.org.uk/aboutnice</vt:lpwstr>
      </vt:variant>
      <vt:variant>
        <vt:lpwstr/>
      </vt:variant>
      <vt:variant>
        <vt:i4>2228257</vt:i4>
      </vt:variant>
      <vt:variant>
        <vt:i4>243</vt:i4>
      </vt:variant>
      <vt:variant>
        <vt:i4>0</vt:i4>
      </vt:variant>
      <vt:variant>
        <vt:i4>5</vt:i4>
      </vt:variant>
      <vt:variant>
        <vt:lpwstr>http://www.evidence.nhs.uk/</vt:lpwstr>
      </vt:variant>
      <vt:variant>
        <vt:lpwstr/>
      </vt:variant>
      <vt:variant>
        <vt:i4>2228257</vt:i4>
      </vt:variant>
      <vt:variant>
        <vt:i4>240</vt:i4>
      </vt:variant>
      <vt:variant>
        <vt:i4>0</vt:i4>
      </vt:variant>
      <vt:variant>
        <vt:i4>5</vt:i4>
      </vt:variant>
      <vt:variant>
        <vt:lpwstr>http://www.evidence.nhs.uk/</vt:lpwstr>
      </vt:variant>
      <vt:variant>
        <vt:lpwstr/>
      </vt:variant>
      <vt:variant>
        <vt:i4>1310740</vt:i4>
      </vt:variant>
      <vt:variant>
        <vt:i4>237</vt:i4>
      </vt:variant>
      <vt:variant>
        <vt:i4>0</vt:i4>
      </vt:variant>
      <vt:variant>
        <vt:i4>5</vt:i4>
      </vt:variant>
      <vt:variant>
        <vt:lpwstr/>
      </vt:variant>
      <vt:variant>
        <vt:lpwstr>Usage</vt:lpwstr>
      </vt:variant>
      <vt:variant>
        <vt:i4>1638448</vt:i4>
      </vt:variant>
      <vt:variant>
        <vt:i4>230</vt:i4>
      </vt:variant>
      <vt:variant>
        <vt:i4>0</vt:i4>
      </vt:variant>
      <vt:variant>
        <vt:i4>5</vt:i4>
      </vt:variant>
      <vt:variant>
        <vt:lpwstr/>
      </vt:variant>
      <vt:variant>
        <vt:lpwstr>_Toc276475385</vt:lpwstr>
      </vt:variant>
      <vt:variant>
        <vt:i4>1638448</vt:i4>
      </vt:variant>
      <vt:variant>
        <vt:i4>224</vt:i4>
      </vt:variant>
      <vt:variant>
        <vt:i4>0</vt:i4>
      </vt:variant>
      <vt:variant>
        <vt:i4>5</vt:i4>
      </vt:variant>
      <vt:variant>
        <vt:lpwstr/>
      </vt:variant>
      <vt:variant>
        <vt:lpwstr>_Toc276475384</vt:lpwstr>
      </vt:variant>
      <vt:variant>
        <vt:i4>1638448</vt:i4>
      </vt:variant>
      <vt:variant>
        <vt:i4>218</vt:i4>
      </vt:variant>
      <vt:variant>
        <vt:i4>0</vt:i4>
      </vt:variant>
      <vt:variant>
        <vt:i4>5</vt:i4>
      </vt:variant>
      <vt:variant>
        <vt:lpwstr/>
      </vt:variant>
      <vt:variant>
        <vt:lpwstr>_Toc276475383</vt:lpwstr>
      </vt:variant>
      <vt:variant>
        <vt:i4>1638448</vt:i4>
      </vt:variant>
      <vt:variant>
        <vt:i4>212</vt:i4>
      </vt:variant>
      <vt:variant>
        <vt:i4>0</vt:i4>
      </vt:variant>
      <vt:variant>
        <vt:i4>5</vt:i4>
      </vt:variant>
      <vt:variant>
        <vt:lpwstr/>
      </vt:variant>
      <vt:variant>
        <vt:lpwstr>_Toc276475382</vt:lpwstr>
      </vt:variant>
      <vt:variant>
        <vt:i4>1638448</vt:i4>
      </vt:variant>
      <vt:variant>
        <vt:i4>206</vt:i4>
      </vt:variant>
      <vt:variant>
        <vt:i4>0</vt:i4>
      </vt:variant>
      <vt:variant>
        <vt:i4>5</vt:i4>
      </vt:variant>
      <vt:variant>
        <vt:lpwstr/>
      </vt:variant>
      <vt:variant>
        <vt:lpwstr>_Toc276475381</vt:lpwstr>
      </vt:variant>
      <vt:variant>
        <vt:i4>1638448</vt:i4>
      </vt:variant>
      <vt:variant>
        <vt:i4>200</vt:i4>
      </vt:variant>
      <vt:variant>
        <vt:i4>0</vt:i4>
      </vt:variant>
      <vt:variant>
        <vt:i4>5</vt:i4>
      </vt:variant>
      <vt:variant>
        <vt:lpwstr/>
      </vt:variant>
      <vt:variant>
        <vt:lpwstr>_Toc276475380</vt:lpwstr>
      </vt:variant>
      <vt:variant>
        <vt:i4>1441840</vt:i4>
      </vt:variant>
      <vt:variant>
        <vt:i4>194</vt:i4>
      </vt:variant>
      <vt:variant>
        <vt:i4>0</vt:i4>
      </vt:variant>
      <vt:variant>
        <vt:i4>5</vt:i4>
      </vt:variant>
      <vt:variant>
        <vt:lpwstr/>
      </vt:variant>
      <vt:variant>
        <vt:lpwstr>_Toc276475379</vt:lpwstr>
      </vt:variant>
      <vt:variant>
        <vt:i4>1441840</vt:i4>
      </vt:variant>
      <vt:variant>
        <vt:i4>188</vt:i4>
      </vt:variant>
      <vt:variant>
        <vt:i4>0</vt:i4>
      </vt:variant>
      <vt:variant>
        <vt:i4>5</vt:i4>
      </vt:variant>
      <vt:variant>
        <vt:lpwstr/>
      </vt:variant>
      <vt:variant>
        <vt:lpwstr>_Toc276475378</vt:lpwstr>
      </vt:variant>
      <vt:variant>
        <vt:i4>1441840</vt:i4>
      </vt:variant>
      <vt:variant>
        <vt:i4>182</vt:i4>
      </vt:variant>
      <vt:variant>
        <vt:i4>0</vt:i4>
      </vt:variant>
      <vt:variant>
        <vt:i4>5</vt:i4>
      </vt:variant>
      <vt:variant>
        <vt:lpwstr/>
      </vt:variant>
      <vt:variant>
        <vt:lpwstr>_Toc276475377</vt:lpwstr>
      </vt:variant>
      <vt:variant>
        <vt:i4>1441840</vt:i4>
      </vt:variant>
      <vt:variant>
        <vt:i4>176</vt:i4>
      </vt:variant>
      <vt:variant>
        <vt:i4>0</vt:i4>
      </vt:variant>
      <vt:variant>
        <vt:i4>5</vt:i4>
      </vt:variant>
      <vt:variant>
        <vt:lpwstr/>
      </vt:variant>
      <vt:variant>
        <vt:lpwstr>_Toc276475376</vt:lpwstr>
      </vt:variant>
      <vt:variant>
        <vt:i4>1441840</vt:i4>
      </vt:variant>
      <vt:variant>
        <vt:i4>170</vt:i4>
      </vt:variant>
      <vt:variant>
        <vt:i4>0</vt:i4>
      </vt:variant>
      <vt:variant>
        <vt:i4>5</vt:i4>
      </vt:variant>
      <vt:variant>
        <vt:lpwstr/>
      </vt:variant>
      <vt:variant>
        <vt:lpwstr>_Toc276475375</vt:lpwstr>
      </vt:variant>
      <vt:variant>
        <vt:i4>1441840</vt:i4>
      </vt:variant>
      <vt:variant>
        <vt:i4>164</vt:i4>
      </vt:variant>
      <vt:variant>
        <vt:i4>0</vt:i4>
      </vt:variant>
      <vt:variant>
        <vt:i4>5</vt:i4>
      </vt:variant>
      <vt:variant>
        <vt:lpwstr/>
      </vt:variant>
      <vt:variant>
        <vt:lpwstr>_Toc276475374</vt:lpwstr>
      </vt:variant>
      <vt:variant>
        <vt:i4>1441840</vt:i4>
      </vt:variant>
      <vt:variant>
        <vt:i4>158</vt:i4>
      </vt:variant>
      <vt:variant>
        <vt:i4>0</vt:i4>
      </vt:variant>
      <vt:variant>
        <vt:i4>5</vt:i4>
      </vt:variant>
      <vt:variant>
        <vt:lpwstr/>
      </vt:variant>
      <vt:variant>
        <vt:lpwstr>_Toc276475373</vt:lpwstr>
      </vt:variant>
      <vt:variant>
        <vt:i4>1441840</vt:i4>
      </vt:variant>
      <vt:variant>
        <vt:i4>152</vt:i4>
      </vt:variant>
      <vt:variant>
        <vt:i4>0</vt:i4>
      </vt:variant>
      <vt:variant>
        <vt:i4>5</vt:i4>
      </vt:variant>
      <vt:variant>
        <vt:lpwstr/>
      </vt:variant>
      <vt:variant>
        <vt:lpwstr>_Toc276475372</vt:lpwstr>
      </vt:variant>
      <vt:variant>
        <vt:i4>1441840</vt:i4>
      </vt:variant>
      <vt:variant>
        <vt:i4>146</vt:i4>
      </vt:variant>
      <vt:variant>
        <vt:i4>0</vt:i4>
      </vt:variant>
      <vt:variant>
        <vt:i4>5</vt:i4>
      </vt:variant>
      <vt:variant>
        <vt:lpwstr/>
      </vt:variant>
      <vt:variant>
        <vt:lpwstr>_Toc276475371</vt:lpwstr>
      </vt:variant>
      <vt:variant>
        <vt:i4>1441840</vt:i4>
      </vt:variant>
      <vt:variant>
        <vt:i4>140</vt:i4>
      </vt:variant>
      <vt:variant>
        <vt:i4>0</vt:i4>
      </vt:variant>
      <vt:variant>
        <vt:i4>5</vt:i4>
      </vt:variant>
      <vt:variant>
        <vt:lpwstr/>
      </vt:variant>
      <vt:variant>
        <vt:lpwstr>_Toc276475370</vt:lpwstr>
      </vt:variant>
      <vt:variant>
        <vt:i4>1507376</vt:i4>
      </vt:variant>
      <vt:variant>
        <vt:i4>134</vt:i4>
      </vt:variant>
      <vt:variant>
        <vt:i4>0</vt:i4>
      </vt:variant>
      <vt:variant>
        <vt:i4>5</vt:i4>
      </vt:variant>
      <vt:variant>
        <vt:lpwstr/>
      </vt:variant>
      <vt:variant>
        <vt:lpwstr>_Toc276475369</vt:lpwstr>
      </vt:variant>
      <vt:variant>
        <vt:i4>1507376</vt:i4>
      </vt:variant>
      <vt:variant>
        <vt:i4>128</vt:i4>
      </vt:variant>
      <vt:variant>
        <vt:i4>0</vt:i4>
      </vt:variant>
      <vt:variant>
        <vt:i4>5</vt:i4>
      </vt:variant>
      <vt:variant>
        <vt:lpwstr/>
      </vt:variant>
      <vt:variant>
        <vt:lpwstr>_Toc276475368</vt:lpwstr>
      </vt:variant>
      <vt:variant>
        <vt:i4>1507376</vt:i4>
      </vt:variant>
      <vt:variant>
        <vt:i4>122</vt:i4>
      </vt:variant>
      <vt:variant>
        <vt:i4>0</vt:i4>
      </vt:variant>
      <vt:variant>
        <vt:i4>5</vt:i4>
      </vt:variant>
      <vt:variant>
        <vt:lpwstr/>
      </vt:variant>
      <vt:variant>
        <vt:lpwstr>_Toc276475367</vt:lpwstr>
      </vt:variant>
      <vt:variant>
        <vt:i4>1507376</vt:i4>
      </vt:variant>
      <vt:variant>
        <vt:i4>116</vt:i4>
      </vt:variant>
      <vt:variant>
        <vt:i4>0</vt:i4>
      </vt:variant>
      <vt:variant>
        <vt:i4>5</vt:i4>
      </vt:variant>
      <vt:variant>
        <vt:lpwstr/>
      </vt:variant>
      <vt:variant>
        <vt:lpwstr>_Toc276475366</vt:lpwstr>
      </vt:variant>
      <vt:variant>
        <vt:i4>1507376</vt:i4>
      </vt:variant>
      <vt:variant>
        <vt:i4>110</vt:i4>
      </vt:variant>
      <vt:variant>
        <vt:i4>0</vt:i4>
      </vt:variant>
      <vt:variant>
        <vt:i4>5</vt:i4>
      </vt:variant>
      <vt:variant>
        <vt:lpwstr/>
      </vt:variant>
      <vt:variant>
        <vt:lpwstr>_Toc276475365</vt:lpwstr>
      </vt:variant>
      <vt:variant>
        <vt:i4>1507376</vt:i4>
      </vt:variant>
      <vt:variant>
        <vt:i4>104</vt:i4>
      </vt:variant>
      <vt:variant>
        <vt:i4>0</vt:i4>
      </vt:variant>
      <vt:variant>
        <vt:i4>5</vt:i4>
      </vt:variant>
      <vt:variant>
        <vt:lpwstr/>
      </vt:variant>
      <vt:variant>
        <vt:lpwstr>_Toc276475364</vt:lpwstr>
      </vt:variant>
      <vt:variant>
        <vt:i4>1507376</vt:i4>
      </vt:variant>
      <vt:variant>
        <vt:i4>98</vt:i4>
      </vt:variant>
      <vt:variant>
        <vt:i4>0</vt:i4>
      </vt:variant>
      <vt:variant>
        <vt:i4>5</vt:i4>
      </vt:variant>
      <vt:variant>
        <vt:lpwstr/>
      </vt:variant>
      <vt:variant>
        <vt:lpwstr>_Toc276475363</vt:lpwstr>
      </vt:variant>
      <vt:variant>
        <vt:i4>1507376</vt:i4>
      </vt:variant>
      <vt:variant>
        <vt:i4>92</vt:i4>
      </vt:variant>
      <vt:variant>
        <vt:i4>0</vt:i4>
      </vt:variant>
      <vt:variant>
        <vt:i4>5</vt:i4>
      </vt:variant>
      <vt:variant>
        <vt:lpwstr/>
      </vt:variant>
      <vt:variant>
        <vt:lpwstr>_Toc276475362</vt:lpwstr>
      </vt:variant>
      <vt:variant>
        <vt:i4>1507376</vt:i4>
      </vt:variant>
      <vt:variant>
        <vt:i4>86</vt:i4>
      </vt:variant>
      <vt:variant>
        <vt:i4>0</vt:i4>
      </vt:variant>
      <vt:variant>
        <vt:i4>5</vt:i4>
      </vt:variant>
      <vt:variant>
        <vt:lpwstr/>
      </vt:variant>
      <vt:variant>
        <vt:lpwstr>_Toc276475361</vt:lpwstr>
      </vt:variant>
      <vt:variant>
        <vt:i4>1310768</vt:i4>
      </vt:variant>
      <vt:variant>
        <vt:i4>80</vt:i4>
      </vt:variant>
      <vt:variant>
        <vt:i4>0</vt:i4>
      </vt:variant>
      <vt:variant>
        <vt:i4>5</vt:i4>
      </vt:variant>
      <vt:variant>
        <vt:lpwstr/>
      </vt:variant>
      <vt:variant>
        <vt:lpwstr>_Toc276475359</vt:lpwstr>
      </vt:variant>
      <vt:variant>
        <vt:i4>1310768</vt:i4>
      </vt:variant>
      <vt:variant>
        <vt:i4>74</vt:i4>
      </vt:variant>
      <vt:variant>
        <vt:i4>0</vt:i4>
      </vt:variant>
      <vt:variant>
        <vt:i4>5</vt:i4>
      </vt:variant>
      <vt:variant>
        <vt:lpwstr/>
      </vt:variant>
      <vt:variant>
        <vt:lpwstr>_Toc276475358</vt:lpwstr>
      </vt:variant>
      <vt:variant>
        <vt:i4>1310768</vt:i4>
      </vt:variant>
      <vt:variant>
        <vt:i4>68</vt:i4>
      </vt:variant>
      <vt:variant>
        <vt:i4>0</vt:i4>
      </vt:variant>
      <vt:variant>
        <vt:i4>5</vt:i4>
      </vt:variant>
      <vt:variant>
        <vt:lpwstr/>
      </vt:variant>
      <vt:variant>
        <vt:lpwstr>_Toc276475357</vt:lpwstr>
      </vt:variant>
      <vt:variant>
        <vt:i4>1310768</vt:i4>
      </vt:variant>
      <vt:variant>
        <vt:i4>62</vt:i4>
      </vt:variant>
      <vt:variant>
        <vt:i4>0</vt:i4>
      </vt:variant>
      <vt:variant>
        <vt:i4>5</vt:i4>
      </vt:variant>
      <vt:variant>
        <vt:lpwstr/>
      </vt:variant>
      <vt:variant>
        <vt:lpwstr>_Toc276475356</vt:lpwstr>
      </vt:variant>
      <vt:variant>
        <vt:i4>1310768</vt:i4>
      </vt:variant>
      <vt:variant>
        <vt:i4>56</vt:i4>
      </vt:variant>
      <vt:variant>
        <vt:i4>0</vt:i4>
      </vt:variant>
      <vt:variant>
        <vt:i4>5</vt:i4>
      </vt:variant>
      <vt:variant>
        <vt:lpwstr/>
      </vt:variant>
      <vt:variant>
        <vt:lpwstr>_Toc276475355</vt:lpwstr>
      </vt:variant>
      <vt:variant>
        <vt:i4>1310768</vt:i4>
      </vt:variant>
      <vt:variant>
        <vt:i4>50</vt:i4>
      </vt:variant>
      <vt:variant>
        <vt:i4>0</vt:i4>
      </vt:variant>
      <vt:variant>
        <vt:i4>5</vt:i4>
      </vt:variant>
      <vt:variant>
        <vt:lpwstr/>
      </vt:variant>
      <vt:variant>
        <vt:lpwstr>_Toc276475354</vt:lpwstr>
      </vt:variant>
      <vt:variant>
        <vt:i4>1310768</vt:i4>
      </vt:variant>
      <vt:variant>
        <vt:i4>44</vt:i4>
      </vt:variant>
      <vt:variant>
        <vt:i4>0</vt:i4>
      </vt:variant>
      <vt:variant>
        <vt:i4>5</vt:i4>
      </vt:variant>
      <vt:variant>
        <vt:lpwstr/>
      </vt:variant>
      <vt:variant>
        <vt:lpwstr>_Toc276475353</vt:lpwstr>
      </vt:variant>
      <vt:variant>
        <vt:i4>1310768</vt:i4>
      </vt:variant>
      <vt:variant>
        <vt:i4>38</vt:i4>
      </vt:variant>
      <vt:variant>
        <vt:i4>0</vt:i4>
      </vt:variant>
      <vt:variant>
        <vt:i4>5</vt:i4>
      </vt:variant>
      <vt:variant>
        <vt:lpwstr/>
      </vt:variant>
      <vt:variant>
        <vt:lpwstr>_Toc276475352</vt:lpwstr>
      </vt:variant>
      <vt:variant>
        <vt:i4>1310768</vt:i4>
      </vt:variant>
      <vt:variant>
        <vt:i4>32</vt:i4>
      </vt:variant>
      <vt:variant>
        <vt:i4>0</vt:i4>
      </vt:variant>
      <vt:variant>
        <vt:i4>5</vt:i4>
      </vt:variant>
      <vt:variant>
        <vt:lpwstr/>
      </vt:variant>
      <vt:variant>
        <vt:lpwstr>_Toc276475351</vt:lpwstr>
      </vt:variant>
      <vt:variant>
        <vt:i4>1310768</vt:i4>
      </vt:variant>
      <vt:variant>
        <vt:i4>26</vt:i4>
      </vt:variant>
      <vt:variant>
        <vt:i4>0</vt:i4>
      </vt:variant>
      <vt:variant>
        <vt:i4>5</vt:i4>
      </vt:variant>
      <vt:variant>
        <vt:lpwstr/>
      </vt:variant>
      <vt:variant>
        <vt:lpwstr>_Toc276475350</vt:lpwstr>
      </vt:variant>
      <vt:variant>
        <vt:i4>1376304</vt:i4>
      </vt:variant>
      <vt:variant>
        <vt:i4>20</vt:i4>
      </vt:variant>
      <vt:variant>
        <vt:i4>0</vt:i4>
      </vt:variant>
      <vt:variant>
        <vt:i4>5</vt:i4>
      </vt:variant>
      <vt:variant>
        <vt:lpwstr/>
      </vt:variant>
      <vt:variant>
        <vt:lpwstr>_Toc276475349</vt:lpwstr>
      </vt:variant>
      <vt:variant>
        <vt:i4>1376304</vt:i4>
      </vt:variant>
      <vt:variant>
        <vt:i4>14</vt:i4>
      </vt:variant>
      <vt:variant>
        <vt:i4>0</vt:i4>
      </vt:variant>
      <vt:variant>
        <vt:i4>5</vt:i4>
      </vt:variant>
      <vt:variant>
        <vt:lpwstr/>
      </vt:variant>
      <vt:variant>
        <vt:lpwstr>_Toc276475347</vt:lpwstr>
      </vt:variant>
      <vt:variant>
        <vt:i4>1376304</vt:i4>
      </vt:variant>
      <vt:variant>
        <vt:i4>8</vt:i4>
      </vt:variant>
      <vt:variant>
        <vt:i4>0</vt:i4>
      </vt:variant>
      <vt:variant>
        <vt:i4>5</vt:i4>
      </vt:variant>
      <vt:variant>
        <vt:lpwstr/>
      </vt:variant>
      <vt:variant>
        <vt:lpwstr>_Toc276475346</vt:lpwstr>
      </vt:variant>
      <vt:variant>
        <vt:i4>1376304</vt:i4>
      </vt:variant>
      <vt:variant>
        <vt:i4>2</vt:i4>
      </vt:variant>
      <vt:variant>
        <vt:i4>0</vt:i4>
      </vt:variant>
      <vt:variant>
        <vt:i4>5</vt:i4>
      </vt:variant>
      <vt:variant>
        <vt:lpwstr/>
      </vt:variant>
      <vt:variant>
        <vt:lpwstr>_Toc276475345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dc:creator>
  <cp:keywords/>
  <dc:description/>
  <cp:lastModifiedBy>Lee Dobson</cp:lastModifiedBy>
  <cp:revision>3</cp:revision>
  <cp:lastPrinted>2017-06-02T12:00:00Z</cp:lastPrinted>
  <dcterms:created xsi:type="dcterms:W3CDTF">2017-10-06T14:27:00Z</dcterms:created>
  <dcterms:modified xsi:type="dcterms:W3CDTF">2017-10-06T15:48:00Z</dcterms:modified>
</cp:coreProperties>
</file>